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11AB" w14:textId="4A847CB6" w:rsidR="00EE15C3" w:rsidRPr="00EE15C3" w:rsidRDefault="00EE15C3" w:rsidP="00EE15C3">
      <w:pPr>
        <w:rPr>
          <w:rFonts w:ascii="Arial" w:hAnsi="Arial" w:cs="Arial"/>
          <w:b/>
          <w:bCs/>
        </w:rPr>
      </w:pPr>
      <w:r w:rsidRPr="00EE15C3">
        <w:rPr>
          <w:rFonts w:ascii="Arial" w:hAnsi="Arial" w:cs="Arial"/>
          <w:b/>
          <w:bCs/>
        </w:rPr>
        <w:t>Privacy Notice – North Riding Primary Care Network</w:t>
      </w:r>
    </w:p>
    <w:p w14:paraId="2750DEFB" w14:textId="2C65BBA9" w:rsidR="00EE15C3" w:rsidRPr="005912A6" w:rsidRDefault="00EE15C3" w:rsidP="00EE15C3">
      <w:pPr>
        <w:rPr>
          <w:rFonts w:ascii="Arial" w:hAnsi="Arial" w:cs="Arial"/>
          <w:b/>
          <w:bCs/>
          <w:u w:val="single"/>
        </w:rPr>
      </w:pPr>
      <w:r w:rsidRPr="005912A6">
        <w:rPr>
          <w:rFonts w:ascii="Arial" w:hAnsi="Arial" w:cs="Arial"/>
          <w:b/>
          <w:bCs/>
          <w:u w:val="single"/>
        </w:rPr>
        <w:t>Background</w:t>
      </w:r>
    </w:p>
    <w:p w14:paraId="1696D9EC" w14:textId="77777777" w:rsidR="00EE15C3" w:rsidRPr="00EE15C3" w:rsidRDefault="00EE15C3" w:rsidP="00EE15C3">
      <w:pPr>
        <w:rPr>
          <w:rFonts w:ascii="Arial" w:hAnsi="Arial" w:cs="Arial"/>
        </w:rPr>
      </w:pPr>
      <w:r w:rsidRPr="00EE15C3">
        <w:rPr>
          <w:rFonts w:ascii="Arial" w:hAnsi="Arial" w:cs="Arial"/>
        </w:rPr>
        <w:t>Primary Care Networks (PCN's) offer a new way of organising care, bringing together all local health and care services in a local area to deliver more joined up care to local populations.</w:t>
      </w:r>
    </w:p>
    <w:p w14:paraId="3432F8A5" w14:textId="39BD6446" w:rsidR="00EE15C3" w:rsidRPr="00EE15C3" w:rsidRDefault="00EE15C3" w:rsidP="00EE15C3">
      <w:pPr>
        <w:rPr>
          <w:rFonts w:ascii="Arial" w:hAnsi="Arial" w:cs="Arial"/>
        </w:rPr>
      </w:pPr>
      <w:r w:rsidRPr="00EE15C3">
        <w:rPr>
          <w:rFonts w:ascii="Arial" w:hAnsi="Arial" w:cs="Arial"/>
        </w:rPr>
        <w:t>North Riding PCN ltd is a network company between the following 4 GP practices covering approximately 40,000 patients:</w:t>
      </w:r>
    </w:p>
    <w:p w14:paraId="2279977A" w14:textId="77777777" w:rsidR="00EE15C3" w:rsidRPr="00EE15C3" w:rsidRDefault="00EE15C3" w:rsidP="00EE15C3">
      <w:pPr>
        <w:rPr>
          <w:rFonts w:ascii="Arial" w:hAnsi="Arial" w:cs="Arial"/>
        </w:rPr>
      </w:pPr>
      <w:r w:rsidRPr="00EE15C3">
        <w:rPr>
          <w:rFonts w:ascii="Arial" w:hAnsi="Arial" w:cs="Arial"/>
        </w:rPr>
        <w:t>- Ampleforth &amp; Hovingham Practice: </w:t>
      </w:r>
      <w:hyperlink r:id="rId8" w:history="1">
        <w:r w:rsidRPr="00EE15C3">
          <w:rPr>
            <w:rStyle w:val="Hyperlink"/>
            <w:rFonts w:ascii="Arial" w:hAnsi="Arial" w:cs="Arial"/>
          </w:rPr>
          <w:t>www.ampleforth-surgery.co.uk</w:t>
        </w:r>
      </w:hyperlink>
    </w:p>
    <w:p w14:paraId="2DB4EC60" w14:textId="77777777" w:rsidR="00EE15C3" w:rsidRPr="00EE15C3" w:rsidRDefault="00EE15C3" w:rsidP="00EE15C3">
      <w:pPr>
        <w:rPr>
          <w:rFonts w:ascii="Arial" w:hAnsi="Arial" w:cs="Arial"/>
        </w:rPr>
      </w:pPr>
      <w:r w:rsidRPr="00EE15C3">
        <w:rPr>
          <w:rFonts w:ascii="Arial" w:hAnsi="Arial" w:cs="Arial"/>
        </w:rPr>
        <w:t>- Derwent Practice: </w:t>
      </w:r>
      <w:hyperlink r:id="rId9" w:history="1">
        <w:r w:rsidRPr="00EE15C3">
          <w:rPr>
            <w:rStyle w:val="Hyperlink"/>
            <w:rFonts w:ascii="Arial" w:hAnsi="Arial" w:cs="Arial"/>
          </w:rPr>
          <w:t>www.derwentpractice.com</w:t>
        </w:r>
      </w:hyperlink>
    </w:p>
    <w:p w14:paraId="10DCFC8A" w14:textId="77777777" w:rsidR="00EE15C3" w:rsidRPr="00EE15C3" w:rsidRDefault="00EE15C3" w:rsidP="00EE15C3">
      <w:pPr>
        <w:rPr>
          <w:rFonts w:ascii="Arial" w:hAnsi="Arial" w:cs="Arial"/>
        </w:rPr>
      </w:pPr>
      <w:r w:rsidRPr="00EE15C3">
        <w:rPr>
          <w:rFonts w:ascii="Arial" w:hAnsi="Arial" w:cs="Arial"/>
        </w:rPr>
        <w:t>- Sherburn &amp; Rillington Practice: </w:t>
      </w:r>
      <w:hyperlink r:id="rId10" w:history="1">
        <w:r w:rsidRPr="00EE15C3">
          <w:rPr>
            <w:rStyle w:val="Hyperlink"/>
            <w:rFonts w:ascii="Arial" w:hAnsi="Arial" w:cs="Arial"/>
          </w:rPr>
          <w:t>www.srpractice.co.uk</w:t>
        </w:r>
      </w:hyperlink>
    </w:p>
    <w:p w14:paraId="08D0EF8F" w14:textId="77777777" w:rsidR="00EE15C3" w:rsidRPr="00EE15C3" w:rsidRDefault="00EE15C3" w:rsidP="00EE15C3">
      <w:pPr>
        <w:rPr>
          <w:rFonts w:ascii="Arial" w:hAnsi="Arial" w:cs="Arial"/>
        </w:rPr>
      </w:pPr>
      <w:r w:rsidRPr="00EE15C3">
        <w:rPr>
          <w:rFonts w:ascii="Arial" w:hAnsi="Arial" w:cs="Arial"/>
        </w:rPr>
        <w:t>- Ayton &amp; Snainton Medical Practice: </w:t>
      </w:r>
      <w:hyperlink r:id="rId11" w:history="1">
        <w:r w:rsidRPr="00EE15C3">
          <w:rPr>
            <w:rStyle w:val="Hyperlink"/>
            <w:rFonts w:ascii="Arial" w:hAnsi="Arial" w:cs="Arial"/>
          </w:rPr>
          <w:t>www.ayton-snainton.co.uk</w:t>
        </w:r>
      </w:hyperlink>
      <w:r w:rsidRPr="00EE15C3">
        <w:rPr>
          <w:rFonts w:ascii="Arial" w:hAnsi="Arial" w:cs="Arial"/>
        </w:rPr>
        <w:t>     </w:t>
      </w:r>
    </w:p>
    <w:p w14:paraId="2CC15639" w14:textId="3AFDB569" w:rsidR="00EE15C3" w:rsidRPr="00EE15C3" w:rsidRDefault="00EE15C3" w:rsidP="00EE15C3">
      <w:pPr>
        <w:rPr>
          <w:rFonts w:ascii="Arial" w:hAnsi="Arial" w:cs="Arial"/>
        </w:rPr>
      </w:pPr>
      <w:r w:rsidRPr="00EE15C3">
        <w:rPr>
          <w:rFonts w:ascii="Arial" w:hAnsi="Arial" w:cs="Arial"/>
        </w:rPr>
        <w:t>North Riding</w:t>
      </w:r>
      <w:r w:rsidR="005912A6">
        <w:rPr>
          <w:rFonts w:ascii="Arial" w:hAnsi="Arial" w:cs="Arial"/>
        </w:rPr>
        <w:t xml:space="preserve"> PCN’s</w:t>
      </w:r>
      <w:r w:rsidRPr="00EE15C3">
        <w:rPr>
          <w:rFonts w:ascii="Arial" w:hAnsi="Arial" w:cs="Arial"/>
        </w:rPr>
        <w:t xml:space="preserve"> primary purpose is to provide the best care possible for you. In order to do </w:t>
      </w:r>
      <w:r w:rsidR="005912A6" w:rsidRPr="00EE15C3">
        <w:rPr>
          <w:rFonts w:ascii="Arial" w:hAnsi="Arial" w:cs="Arial"/>
        </w:rPr>
        <w:t>this,</w:t>
      </w:r>
      <w:r w:rsidRPr="00EE15C3">
        <w:rPr>
          <w:rFonts w:ascii="Arial" w:hAnsi="Arial" w:cs="Arial"/>
        </w:rPr>
        <w:t xml:space="preserve"> we need to collect, store and share information about you.</w:t>
      </w:r>
    </w:p>
    <w:p w14:paraId="7B199E8F" w14:textId="411C0D43" w:rsidR="00EE15C3" w:rsidRPr="00EE15C3" w:rsidRDefault="00EE15C3" w:rsidP="00EE15C3">
      <w:pPr>
        <w:rPr>
          <w:rFonts w:ascii="Arial" w:hAnsi="Arial" w:cs="Arial"/>
        </w:rPr>
      </w:pPr>
      <w:r w:rsidRPr="00EE15C3">
        <w:rPr>
          <w:rFonts w:ascii="Arial" w:hAnsi="Arial" w:cs="Arial"/>
        </w:rPr>
        <w:t>This privacy notice is designed to explain what happens to any personal data that you give us or any information concerning you that is collected by other organisations, for instance, if you attend an Accident and Emergency department. This includes how your data is held and/or processed by us.</w:t>
      </w:r>
    </w:p>
    <w:p w14:paraId="0F2A5CE9" w14:textId="63D5C231" w:rsidR="00EE15C3" w:rsidRPr="00EE15C3" w:rsidRDefault="00EE15C3" w:rsidP="005912A6">
      <w:pPr>
        <w:rPr>
          <w:rFonts w:ascii="Arial" w:hAnsi="Arial" w:cs="Arial"/>
        </w:rPr>
      </w:pPr>
      <w:r w:rsidRPr="00EE15C3">
        <w:rPr>
          <w:rFonts w:ascii="Arial" w:hAnsi="Arial" w:cs="Arial"/>
        </w:rPr>
        <w:t>This notice includes:</w:t>
      </w:r>
    </w:p>
    <w:p w14:paraId="6E366472" w14:textId="77777777" w:rsidR="00EE15C3" w:rsidRPr="00EE15C3" w:rsidRDefault="00EE15C3" w:rsidP="00EE15C3">
      <w:pPr>
        <w:numPr>
          <w:ilvl w:val="0"/>
          <w:numId w:val="1"/>
        </w:numPr>
        <w:rPr>
          <w:rFonts w:ascii="Arial" w:hAnsi="Arial" w:cs="Arial"/>
        </w:rPr>
      </w:pPr>
      <w:r w:rsidRPr="00EE15C3">
        <w:rPr>
          <w:rFonts w:ascii="Arial" w:hAnsi="Arial" w:cs="Arial"/>
        </w:rPr>
        <w:t>The kinds of information we hold and how we process them</w:t>
      </w:r>
    </w:p>
    <w:p w14:paraId="5F2A33AC" w14:textId="26A29E8F" w:rsidR="00EE15C3" w:rsidRPr="00EE15C3" w:rsidRDefault="005912A6" w:rsidP="00EE15C3">
      <w:pPr>
        <w:numPr>
          <w:ilvl w:val="0"/>
          <w:numId w:val="1"/>
        </w:numPr>
        <w:rPr>
          <w:rFonts w:ascii="Arial" w:hAnsi="Arial" w:cs="Arial"/>
        </w:rPr>
      </w:pPr>
      <w:r>
        <w:rPr>
          <w:rFonts w:ascii="Arial" w:hAnsi="Arial" w:cs="Arial"/>
        </w:rPr>
        <w:t>Why we hold and</w:t>
      </w:r>
      <w:r w:rsidR="00EE15C3" w:rsidRPr="00EE15C3">
        <w:rPr>
          <w:rFonts w:ascii="Arial" w:hAnsi="Arial" w:cs="Arial"/>
        </w:rPr>
        <w:t xml:space="preserve"> process your personal data, including when it is shared with others</w:t>
      </w:r>
    </w:p>
    <w:p w14:paraId="6594E2B4" w14:textId="7668F4BC" w:rsidR="00EE15C3" w:rsidRPr="00EE15C3" w:rsidRDefault="005912A6" w:rsidP="00EE15C3">
      <w:pPr>
        <w:numPr>
          <w:ilvl w:val="0"/>
          <w:numId w:val="1"/>
        </w:numPr>
        <w:rPr>
          <w:rFonts w:ascii="Arial" w:hAnsi="Arial" w:cs="Arial"/>
        </w:rPr>
      </w:pPr>
      <w:r>
        <w:rPr>
          <w:rFonts w:ascii="Arial" w:hAnsi="Arial" w:cs="Arial"/>
        </w:rPr>
        <w:t>Who we share information with</w:t>
      </w:r>
    </w:p>
    <w:p w14:paraId="16CA5CB8" w14:textId="4F5AB8E2" w:rsidR="00EE15C3" w:rsidRDefault="005912A6" w:rsidP="00EE15C3">
      <w:pPr>
        <w:numPr>
          <w:ilvl w:val="0"/>
          <w:numId w:val="1"/>
        </w:numPr>
        <w:rPr>
          <w:rFonts w:ascii="Arial" w:hAnsi="Arial" w:cs="Arial"/>
        </w:rPr>
      </w:pPr>
      <w:r>
        <w:rPr>
          <w:rFonts w:ascii="Arial" w:hAnsi="Arial" w:cs="Arial"/>
        </w:rPr>
        <w:t>Communication with our patients</w:t>
      </w:r>
    </w:p>
    <w:p w14:paraId="7AF59BC1" w14:textId="2FFB302D" w:rsidR="005912A6" w:rsidRDefault="005912A6" w:rsidP="00EE15C3">
      <w:pPr>
        <w:numPr>
          <w:ilvl w:val="0"/>
          <w:numId w:val="1"/>
        </w:numPr>
        <w:rPr>
          <w:rFonts w:ascii="Arial" w:hAnsi="Arial" w:cs="Arial"/>
        </w:rPr>
      </w:pPr>
      <w:r>
        <w:rPr>
          <w:rFonts w:ascii="Arial" w:hAnsi="Arial" w:cs="Arial"/>
        </w:rPr>
        <w:t>Safeguarding and the Caldicott Guardian</w:t>
      </w:r>
    </w:p>
    <w:p w14:paraId="45CD293E" w14:textId="75DA8EA9" w:rsidR="005912A6" w:rsidRDefault="005912A6" w:rsidP="00EE15C3">
      <w:pPr>
        <w:numPr>
          <w:ilvl w:val="0"/>
          <w:numId w:val="1"/>
        </w:numPr>
        <w:rPr>
          <w:rFonts w:ascii="Arial" w:hAnsi="Arial" w:cs="Arial"/>
        </w:rPr>
      </w:pPr>
      <w:r>
        <w:rPr>
          <w:rFonts w:ascii="Arial" w:hAnsi="Arial" w:cs="Arial"/>
        </w:rPr>
        <w:t>Medical Audits and Medicines Management</w:t>
      </w:r>
    </w:p>
    <w:p w14:paraId="7C9AF24B" w14:textId="6F10D60A" w:rsidR="005912A6" w:rsidRDefault="005912A6" w:rsidP="00EE15C3">
      <w:pPr>
        <w:numPr>
          <w:ilvl w:val="0"/>
          <w:numId w:val="1"/>
        </w:numPr>
        <w:rPr>
          <w:rFonts w:ascii="Arial" w:hAnsi="Arial" w:cs="Arial"/>
        </w:rPr>
      </w:pPr>
      <w:r>
        <w:rPr>
          <w:rFonts w:ascii="Arial" w:hAnsi="Arial" w:cs="Arial"/>
        </w:rPr>
        <w:t>Automated Data Processing and Risk Stratification</w:t>
      </w:r>
    </w:p>
    <w:p w14:paraId="68156D50" w14:textId="01A803C6" w:rsidR="00551EA2" w:rsidRDefault="00551EA2" w:rsidP="00EE15C3">
      <w:pPr>
        <w:numPr>
          <w:ilvl w:val="0"/>
          <w:numId w:val="1"/>
        </w:numPr>
        <w:rPr>
          <w:rFonts w:ascii="Arial" w:hAnsi="Arial" w:cs="Arial"/>
        </w:rPr>
      </w:pPr>
      <w:r>
        <w:rPr>
          <w:rFonts w:ascii="Arial" w:hAnsi="Arial" w:cs="Arial"/>
        </w:rPr>
        <w:t>AI in General Practice</w:t>
      </w:r>
    </w:p>
    <w:p w14:paraId="626A0D86" w14:textId="74AA8F27" w:rsidR="005912A6" w:rsidRDefault="005912A6" w:rsidP="00EE15C3">
      <w:pPr>
        <w:numPr>
          <w:ilvl w:val="0"/>
          <w:numId w:val="1"/>
        </w:numPr>
        <w:rPr>
          <w:rFonts w:ascii="Arial" w:hAnsi="Arial" w:cs="Arial"/>
        </w:rPr>
      </w:pPr>
      <w:r>
        <w:rPr>
          <w:rFonts w:ascii="Arial" w:hAnsi="Arial" w:cs="Arial"/>
        </w:rPr>
        <w:t>Research and Planning</w:t>
      </w:r>
    </w:p>
    <w:p w14:paraId="18A137AE" w14:textId="2B221CBB" w:rsidR="005912A6" w:rsidRDefault="005912A6" w:rsidP="00EE15C3">
      <w:pPr>
        <w:numPr>
          <w:ilvl w:val="0"/>
          <w:numId w:val="1"/>
        </w:numPr>
        <w:rPr>
          <w:rFonts w:ascii="Arial" w:hAnsi="Arial" w:cs="Arial"/>
        </w:rPr>
      </w:pPr>
      <w:r>
        <w:rPr>
          <w:rFonts w:ascii="Arial" w:hAnsi="Arial" w:cs="Arial"/>
        </w:rPr>
        <w:t>Data Opt-Outs and Your Right to Object</w:t>
      </w:r>
    </w:p>
    <w:p w14:paraId="7A803D60" w14:textId="78DB2028" w:rsidR="005912A6" w:rsidRPr="00EE15C3" w:rsidRDefault="005912A6" w:rsidP="00EE15C3">
      <w:pPr>
        <w:numPr>
          <w:ilvl w:val="0"/>
          <w:numId w:val="1"/>
        </w:numPr>
        <w:rPr>
          <w:rFonts w:ascii="Arial" w:hAnsi="Arial" w:cs="Arial"/>
        </w:rPr>
      </w:pPr>
      <w:r>
        <w:rPr>
          <w:rFonts w:ascii="Arial" w:hAnsi="Arial" w:cs="Arial"/>
        </w:rPr>
        <w:t>How long information is retained</w:t>
      </w:r>
    </w:p>
    <w:p w14:paraId="4C2ABC7E" w14:textId="77777777" w:rsidR="005912A6" w:rsidRDefault="005912A6" w:rsidP="005912A6">
      <w:pPr>
        <w:numPr>
          <w:ilvl w:val="0"/>
          <w:numId w:val="1"/>
        </w:numPr>
        <w:rPr>
          <w:rFonts w:ascii="Arial" w:eastAsia="Times New Roman" w:hAnsi="Arial" w:cs="Arial"/>
          <w:b/>
          <w:bCs/>
          <w:color w:val="423F3C"/>
          <w:kern w:val="0"/>
          <w:sz w:val="22"/>
          <w:szCs w:val="22"/>
          <w:u w:val="single"/>
          <w:lang w:eastAsia="en-GB"/>
          <w14:ligatures w14:val="none"/>
        </w:rPr>
      </w:pPr>
      <w:r>
        <w:rPr>
          <w:rFonts w:ascii="Arial" w:hAnsi="Arial" w:cs="Arial"/>
        </w:rPr>
        <w:t xml:space="preserve">Summary Table </w:t>
      </w:r>
    </w:p>
    <w:p w14:paraId="0BEC0A2E" w14:textId="77777777" w:rsidR="00551EA2" w:rsidRDefault="00551EA2" w:rsidP="005912A6">
      <w:pPr>
        <w:rPr>
          <w:rFonts w:ascii="Arial" w:eastAsia="Times New Roman" w:hAnsi="Arial" w:cs="Arial"/>
          <w:b/>
          <w:bCs/>
          <w:color w:val="423F3C"/>
          <w:kern w:val="0"/>
          <w:sz w:val="22"/>
          <w:szCs w:val="22"/>
          <w:u w:val="single"/>
          <w:lang w:eastAsia="en-GB"/>
          <w14:ligatures w14:val="none"/>
        </w:rPr>
      </w:pPr>
    </w:p>
    <w:p w14:paraId="053FFCFE" w14:textId="56D386ED" w:rsidR="00EE15C3" w:rsidRPr="005912A6" w:rsidRDefault="00EE15C3" w:rsidP="005912A6">
      <w:pPr>
        <w:rPr>
          <w:rFonts w:ascii="Arial" w:eastAsia="Times New Roman" w:hAnsi="Arial" w:cs="Arial"/>
          <w:b/>
          <w:bCs/>
          <w:color w:val="423F3C"/>
          <w:kern w:val="0"/>
          <w:sz w:val="22"/>
          <w:szCs w:val="22"/>
          <w:u w:val="single"/>
          <w:lang w:eastAsia="en-GB"/>
          <w14:ligatures w14:val="none"/>
        </w:rPr>
      </w:pPr>
      <w:r w:rsidRPr="005912A6">
        <w:rPr>
          <w:rFonts w:ascii="Arial" w:eastAsia="Times New Roman" w:hAnsi="Arial" w:cs="Arial"/>
          <w:b/>
          <w:bCs/>
          <w:color w:val="423F3C"/>
          <w:kern w:val="0"/>
          <w:sz w:val="22"/>
          <w:szCs w:val="22"/>
          <w:u w:val="single"/>
          <w:lang w:eastAsia="en-GB"/>
          <w14:ligatures w14:val="none"/>
        </w:rPr>
        <w:lastRenderedPageBreak/>
        <w:t>The information we hold on you</w:t>
      </w:r>
    </w:p>
    <w:p w14:paraId="02D93C6C" w14:textId="4CEBBFBB" w:rsidR="00EE15C3" w:rsidRPr="009D086E" w:rsidRDefault="00EE15C3" w:rsidP="009D086E">
      <w:p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North Riding PCN keeps data on you relating to who you are, where you live, your contact details, your family, details of your occupation – if any – and, possibly, your employers, your lifestyle, your health problems and diagnoses, the reasons you seek help, as well, at your appointments. Your record also contains details if you have a carer, where you are seen, when you are seen, and who by: as well as all referrals to specialists and other health and social care providers, tests carried out here and in other places, investigations and scans, treatments and outcomes of treatments, your treatment history, the observations and opinions of other health care workers, within and without the NHS as well as comments and aide memoires reasonably made by health and care professionals in this practice who are appropriately involved in your health care. All of this data helps us in providing you with the best possible care, and, as quickly as possible in an emergency.</w:t>
      </w:r>
    </w:p>
    <w:p w14:paraId="62EFABC9" w14:textId="24B94CBE" w:rsidR="00EE15C3" w:rsidRPr="009D086E" w:rsidRDefault="00EE15C3" w:rsidP="009D086E">
      <w:p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 xml:space="preserve">All </w:t>
      </w:r>
      <w:r w:rsidR="009D086E" w:rsidRPr="009D086E">
        <w:rPr>
          <w:rFonts w:ascii="Arial" w:eastAsia="Times New Roman" w:hAnsi="Arial" w:cs="Arial"/>
          <w:kern w:val="0"/>
          <w:sz w:val="22"/>
          <w:szCs w:val="22"/>
          <w:lang w:eastAsia="en-GB"/>
          <w14:ligatures w14:val="none"/>
        </w:rPr>
        <w:t>health-related</w:t>
      </w:r>
      <w:r w:rsidRPr="009D086E">
        <w:rPr>
          <w:rFonts w:ascii="Arial" w:eastAsia="Times New Roman" w:hAnsi="Arial" w:cs="Arial"/>
          <w:kern w:val="0"/>
          <w:sz w:val="22"/>
          <w:szCs w:val="22"/>
          <w:lang w:eastAsia="en-GB"/>
          <w14:ligatures w14:val="none"/>
        </w:rPr>
        <w:t xml:space="preserve"> data is seen as ‘special category’ or ‘sensitive data’ under the 2018 Data Protection Act which means that it is shared and processed with particular care. This applies to your data whether it is in electronic formats or on paper.</w:t>
      </w:r>
    </w:p>
    <w:p w14:paraId="1F9E32D6" w14:textId="77777777" w:rsidR="00EE15C3" w:rsidRDefault="00EE15C3" w:rsidP="009D086E">
      <w:p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When registering for NHS care, all patients who eligible for NHS care receive a unique NHS Number and are registered on a national database, the database is held by NHS Digital, a national organisation which has legal responsibilities to collect NHS data in the public interest.</w:t>
      </w:r>
    </w:p>
    <w:p w14:paraId="6FC31DE1" w14:textId="77777777" w:rsidR="009D086E" w:rsidRPr="009D086E" w:rsidRDefault="009D086E" w:rsidP="009D086E">
      <w:pPr>
        <w:shd w:val="clear" w:color="auto" w:fill="FFFFFF"/>
        <w:spacing w:after="360" w:line="240" w:lineRule="auto"/>
        <w:rPr>
          <w:rFonts w:ascii="Arial" w:eastAsia="Times New Roman" w:hAnsi="Arial" w:cs="Arial"/>
          <w:b/>
          <w:bCs/>
          <w:kern w:val="0"/>
          <w:sz w:val="22"/>
          <w:szCs w:val="22"/>
          <w:u w:val="single"/>
          <w:lang w:eastAsia="en-GB"/>
          <w14:ligatures w14:val="none"/>
        </w:rPr>
      </w:pPr>
      <w:r w:rsidRPr="009D086E">
        <w:rPr>
          <w:rFonts w:ascii="Arial" w:eastAsia="Times New Roman" w:hAnsi="Arial" w:cs="Arial"/>
          <w:b/>
          <w:bCs/>
          <w:kern w:val="0"/>
          <w:sz w:val="22"/>
          <w:szCs w:val="22"/>
          <w:u w:val="single"/>
          <w:lang w:eastAsia="en-GB"/>
          <w14:ligatures w14:val="none"/>
        </w:rPr>
        <w:t>Why we hold and process your data</w:t>
      </w:r>
    </w:p>
    <w:p w14:paraId="2B5E401E" w14:textId="76997F9A" w:rsidR="009D086E" w:rsidRPr="009D086E" w:rsidRDefault="009D086E" w:rsidP="009D086E">
      <w:pPr>
        <w:shd w:val="clear" w:color="auto" w:fill="FFFFFF"/>
        <w:spacing w:after="36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Your GP Practice holds and processes your</w:t>
      </w:r>
      <w:r w:rsidRPr="009D086E">
        <w:rPr>
          <w:rFonts w:ascii="Arial" w:eastAsia="Times New Roman" w:hAnsi="Arial" w:cs="Arial"/>
          <w:kern w:val="0"/>
          <w:sz w:val="22"/>
          <w:szCs w:val="22"/>
          <w:lang w:eastAsia="en-GB"/>
          <w14:ligatures w14:val="none"/>
        </w:rPr>
        <w:t xml:space="preserve"> personal data in order to provide you with direct care. Together with anonymised and pseudonymised patient data (in other words data that cannot be used to identify you) your personal data is also used to:</w:t>
      </w:r>
    </w:p>
    <w:p w14:paraId="59CE90A5" w14:textId="05EFAD35" w:rsidR="009D086E" w:rsidRPr="009D086E" w:rsidRDefault="009D086E" w:rsidP="009D086E">
      <w:pPr>
        <w:numPr>
          <w:ilvl w:val="0"/>
          <w:numId w:val="2"/>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Improve the quality and standard of care that we and other organisations provide.</w:t>
      </w:r>
    </w:p>
    <w:p w14:paraId="648FEA4C" w14:textId="2FFC8B36" w:rsidR="009D086E" w:rsidRPr="009D086E" w:rsidRDefault="009D086E" w:rsidP="009D086E">
      <w:pPr>
        <w:numPr>
          <w:ilvl w:val="0"/>
          <w:numId w:val="2"/>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Evaluate existing services.</w:t>
      </w:r>
    </w:p>
    <w:p w14:paraId="001C5615" w14:textId="613D17A0" w:rsidR="009D086E" w:rsidRPr="009D086E" w:rsidRDefault="009D086E" w:rsidP="009D086E">
      <w:pPr>
        <w:numPr>
          <w:ilvl w:val="0"/>
          <w:numId w:val="2"/>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Developing preventative treatment of illness and disease.</w:t>
      </w:r>
    </w:p>
    <w:p w14:paraId="5A1F0964" w14:textId="77777777" w:rsidR="009D086E" w:rsidRPr="009D086E" w:rsidRDefault="009D086E" w:rsidP="009D086E">
      <w:pPr>
        <w:numPr>
          <w:ilvl w:val="0"/>
          <w:numId w:val="2"/>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Monitoring standards of patient safety</w:t>
      </w:r>
    </w:p>
    <w:p w14:paraId="73B83025" w14:textId="77777777" w:rsidR="009D086E" w:rsidRPr="009D086E" w:rsidRDefault="009D086E" w:rsidP="009D086E">
      <w:pPr>
        <w:numPr>
          <w:ilvl w:val="0"/>
          <w:numId w:val="2"/>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Act in the public interest as legally directed – for instance, in times of pandemic</w:t>
      </w:r>
    </w:p>
    <w:p w14:paraId="7C1BFC77" w14:textId="77777777" w:rsidR="009D086E" w:rsidRPr="009D086E" w:rsidRDefault="009D086E" w:rsidP="009D086E">
      <w:p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You also have a choice over whether you wish to use your confidential data – i.e. data that CAN be traced back to you for purposes of:</w:t>
      </w:r>
    </w:p>
    <w:p w14:paraId="58B15957" w14:textId="77777777" w:rsidR="009D086E" w:rsidRPr="009D086E" w:rsidRDefault="009D086E" w:rsidP="009D086E">
      <w:pPr>
        <w:numPr>
          <w:ilvl w:val="0"/>
          <w:numId w:val="3"/>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Researching and developing new treatments.</w:t>
      </w:r>
    </w:p>
    <w:p w14:paraId="26BD3F0A" w14:textId="77777777" w:rsidR="009D086E" w:rsidRPr="009D086E" w:rsidRDefault="009D086E" w:rsidP="009D086E">
      <w:pPr>
        <w:numPr>
          <w:ilvl w:val="0"/>
          <w:numId w:val="3"/>
        </w:numPr>
        <w:shd w:val="clear" w:color="auto" w:fill="FFFFFF"/>
        <w:spacing w:after="360" w:line="240" w:lineRule="auto"/>
        <w:rPr>
          <w:rFonts w:ascii="Arial" w:eastAsia="Times New Roman" w:hAnsi="Arial" w:cs="Arial"/>
          <w:kern w:val="0"/>
          <w:sz w:val="22"/>
          <w:szCs w:val="22"/>
          <w:lang w:eastAsia="en-GB"/>
          <w14:ligatures w14:val="none"/>
        </w:rPr>
      </w:pPr>
      <w:r w:rsidRPr="009D086E">
        <w:rPr>
          <w:rFonts w:ascii="Arial" w:eastAsia="Times New Roman" w:hAnsi="Arial" w:cs="Arial"/>
          <w:kern w:val="0"/>
          <w:sz w:val="22"/>
          <w:szCs w:val="22"/>
          <w:lang w:eastAsia="en-GB"/>
          <w14:ligatures w14:val="none"/>
        </w:rPr>
        <w:t>Planning future services in the locality.</w:t>
      </w:r>
    </w:p>
    <w:p w14:paraId="6F91F3F1" w14:textId="77777777" w:rsidR="00551EA2" w:rsidRDefault="00551EA2" w:rsidP="009D086E">
      <w:pPr>
        <w:shd w:val="clear" w:color="auto" w:fill="FFFFFF"/>
        <w:spacing w:after="300" w:line="288" w:lineRule="atLeast"/>
        <w:outlineLvl w:val="1"/>
        <w:rPr>
          <w:rFonts w:ascii="Arial" w:eastAsia="Times New Roman" w:hAnsi="Arial" w:cs="Arial"/>
          <w:b/>
          <w:bCs/>
          <w:kern w:val="0"/>
          <w:u w:val="single"/>
          <w:lang w:eastAsia="en-GB"/>
          <w14:ligatures w14:val="none"/>
        </w:rPr>
      </w:pPr>
    </w:p>
    <w:p w14:paraId="6D70904E" w14:textId="77777777" w:rsidR="00551EA2" w:rsidRDefault="00551EA2" w:rsidP="009D086E">
      <w:pPr>
        <w:shd w:val="clear" w:color="auto" w:fill="FFFFFF"/>
        <w:spacing w:after="300" w:line="288" w:lineRule="atLeast"/>
        <w:outlineLvl w:val="1"/>
        <w:rPr>
          <w:rFonts w:ascii="Arial" w:eastAsia="Times New Roman" w:hAnsi="Arial" w:cs="Arial"/>
          <w:b/>
          <w:bCs/>
          <w:kern w:val="0"/>
          <w:u w:val="single"/>
          <w:lang w:eastAsia="en-GB"/>
          <w14:ligatures w14:val="none"/>
        </w:rPr>
      </w:pPr>
    </w:p>
    <w:p w14:paraId="111FFCB1" w14:textId="4D4865A7" w:rsidR="009D086E" w:rsidRPr="009D086E" w:rsidRDefault="009D086E" w:rsidP="009D086E">
      <w:pPr>
        <w:shd w:val="clear" w:color="auto" w:fill="FFFFFF"/>
        <w:spacing w:after="300" w:line="288" w:lineRule="atLeast"/>
        <w:outlineLvl w:val="1"/>
        <w:rPr>
          <w:rFonts w:ascii="Arial" w:eastAsia="Times New Roman" w:hAnsi="Arial" w:cs="Arial"/>
          <w:b/>
          <w:bCs/>
          <w:kern w:val="0"/>
          <w:u w:val="single"/>
          <w:lang w:eastAsia="en-GB"/>
          <w14:ligatures w14:val="none"/>
        </w:rPr>
      </w:pPr>
      <w:r w:rsidRPr="009D086E">
        <w:rPr>
          <w:rFonts w:ascii="Arial" w:eastAsia="Times New Roman" w:hAnsi="Arial" w:cs="Arial"/>
          <w:b/>
          <w:bCs/>
          <w:kern w:val="0"/>
          <w:u w:val="single"/>
          <w:lang w:eastAsia="en-GB"/>
          <w14:ligatures w14:val="none"/>
        </w:rPr>
        <w:lastRenderedPageBreak/>
        <w:t>Who do we share information with</w:t>
      </w:r>
    </w:p>
    <w:p w14:paraId="132DDA89" w14:textId="2993A4BF" w:rsidR="009D086E" w:rsidRDefault="009D086E" w:rsidP="009D086E">
      <w:pPr>
        <w:shd w:val="clear" w:color="auto" w:fill="FFFFFF"/>
        <w:spacing w:after="360" w:line="240" w:lineRule="auto"/>
        <w:rPr>
          <w:rFonts w:ascii="Arial" w:eastAsia="Times New Roman" w:hAnsi="Arial" w:cs="Arial"/>
          <w:kern w:val="0"/>
          <w:lang w:eastAsia="en-GB"/>
          <w14:ligatures w14:val="none"/>
        </w:rPr>
      </w:pPr>
      <w:r w:rsidRPr="009D086E">
        <w:rPr>
          <w:rFonts w:ascii="Arial" w:eastAsia="Times New Roman" w:hAnsi="Arial" w:cs="Arial"/>
          <w:kern w:val="0"/>
          <w:lang w:eastAsia="en-GB"/>
          <w14:ligatures w14:val="none"/>
        </w:rPr>
        <w:t>As GPs, we cannot provide all your treatment ourselves, so we need to delegate this responsibility to others across our organisation, within your practice and with other organisations such as pharmacies</w:t>
      </w:r>
      <w:r w:rsidR="003104D7">
        <w:rPr>
          <w:rFonts w:ascii="Arial" w:eastAsia="Times New Roman" w:hAnsi="Arial" w:cs="Arial"/>
          <w:kern w:val="0"/>
          <w:lang w:eastAsia="en-GB"/>
          <w14:ligatures w14:val="none"/>
        </w:rPr>
        <w:t xml:space="preserve">, </w:t>
      </w:r>
      <w:r w:rsidRPr="009D086E">
        <w:rPr>
          <w:rFonts w:ascii="Arial" w:eastAsia="Times New Roman" w:hAnsi="Arial" w:cs="Arial"/>
          <w:kern w:val="0"/>
          <w:lang w:eastAsia="en-GB"/>
          <w14:ligatures w14:val="none"/>
        </w:rPr>
        <w:t>hospitals</w:t>
      </w:r>
      <w:r w:rsidR="003104D7">
        <w:rPr>
          <w:rFonts w:ascii="Arial" w:eastAsia="Times New Roman" w:hAnsi="Arial" w:cs="Arial"/>
          <w:kern w:val="0"/>
          <w:lang w:eastAsia="en-GB"/>
          <w14:ligatures w14:val="none"/>
        </w:rPr>
        <w:t xml:space="preserve"> and other healthcare providers (e.g. Nimbuscare)</w:t>
      </w:r>
      <w:r w:rsidRPr="009D086E">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North Riding</w:t>
      </w:r>
      <w:r w:rsidRPr="009D086E">
        <w:rPr>
          <w:rFonts w:ascii="Arial" w:eastAsia="Times New Roman" w:hAnsi="Arial" w:cs="Arial"/>
          <w:kern w:val="0"/>
          <w:lang w:eastAsia="en-GB"/>
          <w14:ligatures w14:val="none"/>
        </w:rPr>
        <w:t xml:space="preserve"> PCN also pools resources with other primary care organisations in the area. Such services may be provided as part of our local Primary Care Network (PCN) and our partners in secondary health care and in social care. </w:t>
      </w:r>
    </w:p>
    <w:p w14:paraId="06003527" w14:textId="77777777" w:rsidR="00343737" w:rsidRPr="00343737" w:rsidRDefault="00343737" w:rsidP="00343737">
      <w:pPr>
        <w:rPr>
          <w:rFonts w:ascii="Arial" w:hAnsi="Arial" w:cs="Arial"/>
        </w:rPr>
      </w:pPr>
      <w:r w:rsidRPr="00343737">
        <w:rPr>
          <w:rFonts w:ascii="Arial" w:hAnsi="Arial" w:cs="Arial"/>
        </w:rPr>
        <w:t>Once you have seen any outside care provider, they will normally send details of the care they have provided you with to your Practice, so that we can understand and support your health and treatment better and update your health care record.</w:t>
      </w:r>
    </w:p>
    <w:p w14:paraId="5103BB8F" w14:textId="70DBBCAF" w:rsidR="00343737" w:rsidRDefault="00343737" w:rsidP="00343737">
      <w:pPr>
        <w:rPr>
          <w:rFonts w:ascii="Arial" w:hAnsi="Arial" w:cs="Arial"/>
        </w:rPr>
      </w:pPr>
      <w:r w:rsidRPr="00343737">
        <w:rPr>
          <w:rFonts w:ascii="Arial" w:hAnsi="Arial" w:cs="Arial"/>
        </w:rPr>
        <w:t xml:space="preserve">The sharing of personal data, within </w:t>
      </w:r>
      <w:r>
        <w:rPr>
          <w:rFonts w:ascii="Arial" w:hAnsi="Arial" w:cs="Arial"/>
        </w:rPr>
        <w:t xml:space="preserve">North Riding </w:t>
      </w:r>
      <w:r w:rsidRPr="00343737">
        <w:rPr>
          <w:rFonts w:ascii="Arial" w:hAnsi="Arial" w:cs="Arial"/>
        </w:rPr>
        <w:t>PCN and with those other organisations involving our services, as well as secondary care organisations and social care organisations is assumed and is allowed by law (including the Data Protection Act2018). However, we will gladly discuss this with you in more detail if you would like to know more. We keep a register of our Information Assets which also sets out a Record of Processing Activity. The majority of patient data processing and storage happens via our SystmOne patient record systems.</w:t>
      </w:r>
    </w:p>
    <w:p w14:paraId="27875A84" w14:textId="6AD7F1BA" w:rsidR="00343737" w:rsidRPr="00343737" w:rsidRDefault="00343737" w:rsidP="00343737">
      <w:pPr>
        <w:rPr>
          <w:rFonts w:ascii="Arial" w:hAnsi="Arial" w:cs="Arial"/>
        </w:rPr>
      </w:pPr>
      <w:r w:rsidRPr="00343737">
        <w:rPr>
          <w:rFonts w:ascii="Arial" w:hAnsi="Arial" w:cs="Arial"/>
        </w:rPr>
        <w:t xml:space="preserve">We have an overriding responsibility to do what is in your best interests under the 2018 Data Protection Act ‘in performance of a public task’ (see legal bases in the summary below). </w:t>
      </w:r>
      <w:r>
        <w:rPr>
          <w:rFonts w:ascii="Arial" w:hAnsi="Arial" w:cs="Arial"/>
        </w:rPr>
        <w:t>North Riding</w:t>
      </w:r>
      <w:r w:rsidRPr="00343737">
        <w:rPr>
          <w:rFonts w:ascii="Arial" w:hAnsi="Arial" w:cs="Arial"/>
        </w:rPr>
        <w:t xml:space="preserve"> PCN team (clinicians, administration and reception staff) only access the information they need to allow them to perform their function and fulfil their roles.  A list of the types of organisation</w:t>
      </w:r>
      <w:r>
        <w:rPr>
          <w:rFonts w:ascii="Arial" w:hAnsi="Arial" w:cs="Arial"/>
        </w:rPr>
        <w:t>s</w:t>
      </w:r>
      <w:r w:rsidRPr="00343737">
        <w:rPr>
          <w:rFonts w:ascii="Arial" w:hAnsi="Arial" w:cs="Arial"/>
        </w:rPr>
        <w:t xml:space="preserve"> we share with is provided below. This summary also contains details of your rights in relation to your data under the Act and how to exercise them.</w:t>
      </w:r>
    </w:p>
    <w:p w14:paraId="0EA8488E" w14:textId="77777777" w:rsidR="00343737" w:rsidRPr="00343737" w:rsidRDefault="00343737" w:rsidP="00343737">
      <w:pPr>
        <w:rPr>
          <w:rFonts w:ascii="Arial" w:hAnsi="Arial" w:cs="Arial"/>
        </w:rPr>
      </w:pPr>
      <w:r w:rsidRPr="00343737">
        <w:rPr>
          <w:rFonts w:ascii="Arial" w:hAnsi="Arial" w:cs="Arial"/>
        </w:rPr>
        <w:t>For commissioning and healthcare planning purposes:</w:t>
      </w:r>
    </w:p>
    <w:p w14:paraId="68F437D1" w14:textId="77777777" w:rsidR="00343737" w:rsidRPr="00343737" w:rsidRDefault="00343737" w:rsidP="00343737">
      <w:pPr>
        <w:rPr>
          <w:rFonts w:ascii="Arial" w:hAnsi="Arial" w:cs="Arial"/>
        </w:rPr>
      </w:pPr>
      <w:r w:rsidRPr="00343737">
        <w:rPr>
          <w:rFonts w:ascii="Arial" w:hAnsi="Arial" w:cs="Arial"/>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7C0E2AA8" w14:textId="449923AB" w:rsidR="00343737" w:rsidRPr="00343737" w:rsidRDefault="00343737" w:rsidP="00343737">
      <w:pPr>
        <w:numPr>
          <w:ilvl w:val="0"/>
          <w:numId w:val="4"/>
        </w:numPr>
        <w:rPr>
          <w:rFonts w:ascii="Arial" w:hAnsi="Arial" w:cs="Arial"/>
        </w:rPr>
      </w:pPr>
      <w:r>
        <w:rPr>
          <w:rFonts w:ascii="Arial" w:hAnsi="Arial" w:cs="Arial"/>
        </w:rPr>
        <w:t>North Yorkshire County</w:t>
      </w:r>
      <w:r w:rsidRPr="00343737">
        <w:rPr>
          <w:rFonts w:ascii="Arial" w:hAnsi="Arial" w:cs="Arial"/>
        </w:rPr>
        <w:t xml:space="preserve"> Council: Public Health, Adult or Child Social Care Services</w:t>
      </w:r>
    </w:p>
    <w:p w14:paraId="46877826" w14:textId="6313F565" w:rsidR="00343737" w:rsidRDefault="00343737" w:rsidP="00343737">
      <w:pPr>
        <w:numPr>
          <w:ilvl w:val="0"/>
          <w:numId w:val="4"/>
        </w:numPr>
        <w:rPr>
          <w:rFonts w:ascii="Arial" w:hAnsi="Arial" w:cs="Arial"/>
        </w:rPr>
      </w:pPr>
      <w:r>
        <w:rPr>
          <w:rFonts w:ascii="Arial" w:hAnsi="Arial" w:cs="Arial"/>
        </w:rPr>
        <w:t>Humber and North Yorkshire</w:t>
      </w:r>
      <w:r w:rsidRPr="00343737">
        <w:rPr>
          <w:rFonts w:ascii="Arial" w:hAnsi="Arial" w:cs="Arial"/>
        </w:rPr>
        <w:t xml:space="preserve"> Integrated Care Board (or their approved data processors)</w:t>
      </w:r>
    </w:p>
    <w:p w14:paraId="5619333A" w14:textId="77777777" w:rsidR="00343737" w:rsidRPr="00343737" w:rsidRDefault="00343737" w:rsidP="00343737">
      <w:pPr>
        <w:numPr>
          <w:ilvl w:val="0"/>
          <w:numId w:val="4"/>
        </w:numPr>
        <w:rPr>
          <w:rFonts w:ascii="Arial" w:hAnsi="Arial" w:cs="Arial"/>
        </w:rPr>
      </w:pPr>
      <w:r w:rsidRPr="00343737">
        <w:rPr>
          <w:rFonts w:ascii="Arial" w:hAnsi="Arial" w:cs="Arial"/>
        </w:rPr>
        <w:t>NHS Digital (Formerly known as (HSCIC)</w:t>
      </w:r>
    </w:p>
    <w:p w14:paraId="1FCF27B7" w14:textId="77777777" w:rsidR="00343737" w:rsidRPr="00343737" w:rsidRDefault="00343737" w:rsidP="00343737">
      <w:pPr>
        <w:numPr>
          <w:ilvl w:val="0"/>
          <w:numId w:val="4"/>
        </w:numPr>
        <w:rPr>
          <w:rFonts w:ascii="Arial" w:hAnsi="Arial" w:cs="Arial"/>
        </w:rPr>
      </w:pPr>
      <w:r w:rsidRPr="00343737">
        <w:rPr>
          <w:rFonts w:ascii="Arial" w:hAnsi="Arial" w:cs="Arial"/>
        </w:rPr>
        <w:t>The “Clinical Practice Research Datalink” (EMISWeb practices) or ResearchOne Database (SystmOne practices).</w:t>
      </w:r>
    </w:p>
    <w:p w14:paraId="693363AE" w14:textId="77777777" w:rsidR="00343737" w:rsidRPr="00343737" w:rsidRDefault="00343737" w:rsidP="00343737">
      <w:pPr>
        <w:numPr>
          <w:ilvl w:val="0"/>
          <w:numId w:val="4"/>
        </w:numPr>
        <w:rPr>
          <w:rFonts w:ascii="Arial" w:hAnsi="Arial" w:cs="Arial"/>
        </w:rPr>
      </w:pPr>
      <w:r w:rsidRPr="00343737">
        <w:rPr>
          <w:rFonts w:ascii="Arial" w:hAnsi="Arial" w:cs="Arial"/>
        </w:rPr>
        <w:t>Other data processors which you will be informed of as appropriate.</w:t>
      </w:r>
    </w:p>
    <w:p w14:paraId="7383FFFF" w14:textId="37667C49" w:rsidR="00343737" w:rsidRDefault="00343737" w:rsidP="00343737">
      <w:pPr>
        <w:rPr>
          <w:rFonts w:ascii="Arial" w:hAnsi="Arial" w:cs="Arial"/>
        </w:rPr>
      </w:pPr>
      <w:r>
        <w:rPr>
          <w:rFonts w:ascii="Arial" w:hAnsi="Arial" w:cs="Arial"/>
        </w:rPr>
        <w:lastRenderedPageBreak/>
        <w:t>North Riding</w:t>
      </w:r>
      <w:r w:rsidRPr="00343737">
        <w:rPr>
          <w:rFonts w:ascii="Arial" w:hAnsi="Arial" w:cs="Arial"/>
        </w:rPr>
        <w:t xml:space="preserve"> PCN does NOT share your data with insurance companies or solicitors, except by your specific instruction or consent.</w:t>
      </w:r>
    </w:p>
    <w:p w14:paraId="24AABC88" w14:textId="019B2E85" w:rsidR="00343737" w:rsidRPr="00343737" w:rsidRDefault="00343737" w:rsidP="00343737">
      <w:pPr>
        <w:rPr>
          <w:rFonts w:ascii="Arial" w:hAnsi="Arial" w:cs="Arial"/>
        </w:rPr>
      </w:pPr>
      <w:r w:rsidRPr="00343737">
        <w:rPr>
          <w:rFonts w:ascii="Arial" w:hAnsi="Arial" w:cs="Arial"/>
        </w:rPr>
        <w:t>Your data is NOT shared or sold for any marketing purpose.</w:t>
      </w:r>
    </w:p>
    <w:p w14:paraId="1A9E6955" w14:textId="77777777" w:rsidR="00343737" w:rsidRPr="00343737" w:rsidRDefault="00343737" w:rsidP="00343737">
      <w:pPr>
        <w:rPr>
          <w:rFonts w:ascii="Arial" w:hAnsi="Arial" w:cs="Arial"/>
          <w:b/>
          <w:bCs/>
          <w:u w:val="single"/>
        </w:rPr>
      </w:pPr>
      <w:r w:rsidRPr="00343737">
        <w:rPr>
          <w:rFonts w:ascii="Arial" w:hAnsi="Arial" w:cs="Arial"/>
          <w:b/>
          <w:bCs/>
          <w:u w:val="single"/>
        </w:rPr>
        <w:t>Communication with our patients</w:t>
      </w:r>
    </w:p>
    <w:p w14:paraId="4A3B93DB" w14:textId="3443BD24" w:rsidR="00343737" w:rsidRPr="00343737" w:rsidRDefault="00343737" w:rsidP="00343737">
      <w:pPr>
        <w:rPr>
          <w:rFonts w:ascii="Arial" w:hAnsi="Arial" w:cs="Arial"/>
        </w:rPr>
      </w:pPr>
      <w:r>
        <w:rPr>
          <w:rFonts w:ascii="Arial" w:hAnsi="Arial" w:cs="Arial"/>
        </w:rPr>
        <w:t>North Riding</w:t>
      </w:r>
      <w:r w:rsidRPr="00343737">
        <w:rPr>
          <w:rFonts w:ascii="Arial" w:hAnsi="Arial" w:cs="Arial"/>
        </w:rPr>
        <w:t xml:space="preserve"> PCN will use your contact details in order to inform you of progress in your treatment or to work with you in managing your health. Because we can communicate and get data to you more quickly and more securely, we prefer to use email and text messaging services. </w:t>
      </w:r>
      <w:r w:rsidRPr="00343737">
        <w:rPr>
          <w:rFonts w:ascii="Arial" w:hAnsi="Arial" w:cs="Arial"/>
          <w:b/>
          <w:bCs/>
        </w:rPr>
        <w:t>Please ensure that we always have your current, up to date, email address and mobile telephone number so that we can do this</w:t>
      </w:r>
      <w:r w:rsidRPr="00343737">
        <w:rPr>
          <w:rFonts w:ascii="Arial" w:hAnsi="Arial" w:cs="Arial"/>
        </w:rPr>
        <w:t>. If you would prefer us NOT to communicate with you in these ways, please let us know.</w:t>
      </w:r>
    </w:p>
    <w:p w14:paraId="615EC137" w14:textId="23E248B2" w:rsidR="00343737" w:rsidRDefault="00343737" w:rsidP="00343737">
      <w:pPr>
        <w:rPr>
          <w:rFonts w:ascii="Arial" w:hAnsi="Arial" w:cs="Arial"/>
        </w:rPr>
      </w:pPr>
      <w:r w:rsidRPr="00343737">
        <w:rPr>
          <w:rFonts w:ascii="Arial" w:hAnsi="Arial" w:cs="Arial"/>
        </w:rPr>
        <w:t>If you have downloaded the NHS app (or other similar app), we may also use this to communicate with you and to update your referrals etc.</w:t>
      </w:r>
    </w:p>
    <w:p w14:paraId="3DC1C50E" w14:textId="77777777" w:rsidR="00343737" w:rsidRPr="00343737" w:rsidRDefault="00343737" w:rsidP="00343737">
      <w:pPr>
        <w:rPr>
          <w:rFonts w:ascii="Arial" w:hAnsi="Arial" w:cs="Arial"/>
          <w:b/>
          <w:bCs/>
          <w:u w:val="single"/>
        </w:rPr>
      </w:pPr>
      <w:r w:rsidRPr="00343737">
        <w:rPr>
          <w:rFonts w:ascii="Arial" w:hAnsi="Arial" w:cs="Arial"/>
          <w:b/>
          <w:bCs/>
          <w:u w:val="single"/>
        </w:rPr>
        <w:t>Safeguarding and the Caldicott Guardian</w:t>
      </w:r>
    </w:p>
    <w:p w14:paraId="4DB16E58" w14:textId="5EA71BED" w:rsidR="00343737" w:rsidRPr="00343737" w:rsidRDefault="00343737" w:rsidP="00343737">
      <w:pPr>
        <w:rPr>
          <w:rFonts w:ascii="Arial" w:hAnsi="Arial" w:cs="Arial"/>
        </w:rPr>
      </w:pPr>
      <w:r>
        <w:rPr>
          <w:rFonts w:ascii="Arial" w:hAnsi="Arial" w:cs="Arial"/>
        </w:rPr>
        <w:t>North Riding</w:t>
      </w:r>
      <w:r w:rsidRPr="00343737">
        <w:rPr>
          <w:rFonts w:ascii="Arial" w:hAnsi="Arial" w:cs="Arial"/>
        </w:rPr>
        <w:t xml:space="preserve"> PCN is dedicated to safeguarding all its patients, including children and vulnerable adults. This means that information will be shared in their best interests. Such decisions are the ultimate responsibility of </w:t>
      </w:r>
      <w:r>
        <w:rPr>
          <w:rFonts w:ascii="Arial" w:hAnsi="Arial" w:cs="Arial"/>
        </w:rPr>
        <w:t xml:space="preserve">each </w:t>
      </w:r>
      <w:r w:rsidR="00551EA2">
        <w:rPr>
          <w:rFonts w:ascii="Arial" w:hAnsi="Arial" w:cs="Arial"/>
        </w:rPr>
        <w:t>practice</w:t>
      </w:r>
      <w:r w:rsidRPr="00343737">
        <w:rPr>
          <w:rFonts w:ascii="Arial" w:hAnsi="Arial" w:cs="Arial"/>
        </w:rPr>
        <w:t xml:space="preserve"> Caldicott Guardian. The Caldicott Guardian is the senior person – always a doctor and often a partner within a practice – responsible for protecting the confidentiality of people’s health and care information. The duty to share data for the benefit of individuals can be more important as the duty to protect patient confidentiality, and actions taken as a result of safeguarding concerns will override data protection. The decision of the Caldicott Guardian is final and there is no appeal process.</w:t>
      </w:r>
    </w:p>
    <w:p w14:paraId="3D590A2E" w14:textId="77777777" w:rsidR="00343737" w:rsidRPr="00343737" w:rsidRDefault="00343737" w:rsidP="00343737">
      <w:pPr>
        <w:rPr>
          <w:rFonts w:ascii="Arial" w:hAnsi="Arial" w:cs="Arial"/>
          <w:b/>
          <w:bCs/>
          <w:u w:val="single"/>
        </w:rPr>
      </w:pPr>
      <w:r w:rsidRPr="00343737">
        <w:rPr>
          <w:rFonts w:ascii="Arial" w:hAnsi="Arial" w:cs="Arial"/>
          <w:b/>
          <w:bCs/>
          <w:u w:val="single"/>
        </w:rPr>
        <w:t>Medical Audits and Medicines Management</w:t>
      </w:r>
    </w:p>
    <w:p w14:paraId="1BE85FA7" w14:textId="00DDC2DE" w:rsidR="00343737" w:rsidRPr="00343737" w:rsidRDefault="00343737" w:rsidP="00343737">
      <w:pPr>
        <w:rPr>
          <w:rFonts w:ascii="Arial" w:hAnsi="Arial" w:cs="Arial"/>
        </w:rPr>
      </w:pPr>
      <w:r>
        <w:rPr>
          <w:rFonts w:ascii="Arial" w:hAnsi="Arial" w:cs="Arial"/>
        </w:rPr>
        <w:t>North Riding</w:t>
      </w:r>
      <w:r w:rsidRPr="00343737">
        <w:rPr>
          <w:rFonts w:ascii="Arial" w:hAnsi="Arial" w:cs="Arial"/>
        </w:rPr>
        <w:t xml:space="preserve"> PCN will conduct audits of its services and treatment as well as reviews of medicines prescribed to its patients. Reviews of patient data are necessary to allow us to monitor, test and update our services and prescribing to ensure that you receive the most appropriate and cost-effective treatments. These reviews may take the form of internal audits or those conducted by other commissioned healthcare organisations such as the local Medicine Management Team.</w:t>
      </w:r>
    </w:p>
    <w:p w14:paraId="70207BD7" w14:textId="77777777" w:rsidR="00343737" w:rsidRPr="00343737" w:rsidRDefault="00343737" w:rsidP="00343737">
      <w:pPr>
        <w:rPr>
          <w:rFonts w:ascii="Arial" w:hAnsi="Arial" w:cs="Arial"/>
          <w:b/>
          <w:bCs/>
          <w:u w:val="single"/>
        </w:rPr>
      </w:pPr>
      <w:r w:rsidRPr="00343737">
        <w:rPr>
          <w:rFonts w:ascii="Arial" w:hAnsi="Arial" w:cs="Arial"/>
          <w:b/>
          <w:bCs/>
          <w:u w:val="single"/>
        </w:rPr>
        <w:t>Automated Data Processing and Risk Stratification</w:t>
      </w:r>
    </w:p>
    <w:p w14:paraId="293BD6FA" w14:textId="77777777" w:rsidR="00343737" w:rsidRPr="00343737" w:rsidRDefault="00343737" w:rsidP="00343737">
      <w:pPr>
        <w:rPr>
          <w:rFonts w:ascii="Arial" w:hAnsi="Arial" w:cs="Arial"/>
        </w:rPr>
      </w:pPr>
      <w:r w:rsidRPr="00343737">
        <w:rPr>
          <w:rFonts w:ascii="Arial" w:hAnsi="Arial" w:cs="Arial"/>
        </w:rPr>
        <w:t>Electronic tools of prediction, based upon algorithms and artificial intelligence are used within the NHS to determine a patient’s future risks and treatment needs. Wherever we can, we want to prevent admissions to A&amp;E and secondary care which would be otherwise necessary. Such preventative care may, for instance, use these tools to determine the risk and consequence of a future fall in an elderly patient. Under Covid 19 these tools are being used to identify vulnerable patients and patients who need to be shielded.</w:t>
      </w:r>
    </w:p>
    <w:p w14:paraId="71CBE0EA" w14:textId="1A53C955" w:rsidR="005912A6" w:rsidRDefault="00343737" w:rsidP="00343737">
      <w:pPr>
        <w:rPr>
          <w:rFonts w:ascii="Arial" w:hAnsi="Arial" w:cs="Arial"/>
        </w:rPr>
      </w:pPr>
      <w:r w:rsidRPr="00343737">
        <w:rPr>
          <w:rFonts w:ascii="Arial" w:hAnsi="Arial" w:cs="Arial"/>
        </w:rPr>
        <w:lastRenderedPageBreak/>
        <w:t xml:space="preserve">However, under the 2018 Data Protection Act, when the COPI notice described above is withdrawn, you do have the right to opt out of having your data processed in such automated ways. If you wish to opt out, please contact </w:t>
      </w:r>
      <w:r>
        <w:rPr>
          <w:rFonts w:ascii="Arial" w:hAnsi="Arial" w:cs="Arial"/>
        </w:rPr>
        <w:t>your</w:t>
      </w:r>
      <w:r w:rsidRPr="00343737">
        <w:rPr>
          <w:rFonts w:ascii="Arial" w:hAnsi="Arial" w:cs="Arial"/>
        </w:rPr>
        <w:t xml:space="preserve"> practice.</w:t>
      </w:r>
    </w:p>
    <w:p w14:paraId="52E811D5" w14:textId="77777777" w:rsidR="00551EA2" w:rsidRPr="00551EA2" w:rsidRDefault="00551EA2" w:rsidP="00343737">
      <w:pPr>
        <w:rPr>
          <w:rFonts w:ascii="Arial" w:hAnsi="Arial" w:cs="Arial"/>
          <w:b/>
          <w:bCs/>
          <w:u w:val="single"/>
        </w:rPr>
      </w:pPr>
      <w:r w:rsidRPr="00551EA2">
        <w:rPr>
          <w:rFonts w:ascii="Arial" w:hAnsi="Arial" w:cs="Arial"/>
          <w:b/>
          <w:bCs/>
          <w:u w:val="single"/>
        </w:rPr>
        <w:t xml:space="preserve">AI in General Practice </w:t>
      </w:r>
    </w:p>
    <w:p w14:paraId="471950D0" w14:textId="77777777" w:rsidR="00551EA2" w:rsidRDefault="00551EA2" w:rsidP="00343737">
      <w:pPr>
        <w:rPr>
          <w:rFonts w:ascii="Arial" w:hAnsi="Arial" w:cs="Arial"/>
        </w:rPr>
      </w:pPr>
      <w:r>
        <w:rPr>
          <w:rFonts w:ascii="Arial" w:hAnsi="Arial" w:cs="Arial"/>
        </w:rPr>
        <w:t>As a PCN we are starting to use</w:t>
      </w:r>
      <w:r w:rsidRPr="00551EA2">
        <w:rPr>
          <w:rFonts w:ascii="Arial" w:hAnsi="Arial" w:cs="Arial"/>
        </w:rPr>
        <w:t xml:space="preserve"> Artificial Intelligence such as Microsoft Co-Pilot and Heidi Health AI scribe. These AI Tools can be standalone products or can be embedded into other services. They are used to simplify processes to improve the efficiency, quality and speed of our business processes so valuable clinical staff time can be better used in delivering patient care. Ownership and accountability will always remain with our staff members who use and double check the product generated by AI. As time progresses, we may continue to expand the use of AI but each use case will be subject to the same high level of scrutiny. Heidi AI Heidi Health AI Scribe is an advanced, secure digital assistant designed to support clinicians during consultations. It uses artificial intelligence to document medical notes, ensuring your clinician can focus on actively listening to your concerns and delivering personalised care, rather than spending time manually recording the notes. Clinicians review and approve the notes that have been captured prior to adding to the patient record. </w:t>
      </w:r>
    </w:p>
    <w:p w14:paraId="36F2D4A4" w14:textId="77777777" w:rsid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Improved Interaction: Allows clinicians to focus solely on the patient during the consultation. </w:t>
      </w:r>
    </w:p>
    <w:p w14:paraId="1C01B3B4" w14:textId="77777777" w:rsid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Accurate Documentation: Helps create precise, clear, and detailed medical notes for the patient record. </w:t>
      </w:r>
    </w:p>
    <w:p w14:paraId="281A97A2" w14:textId="77777777" w:rsid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Time Efficiency: Streamlines administrative tasks, giving clinicians more time to spend with their patients. </w:t>
      </w:r>
    </w:p>
    <w:p w14:paraId="17B17D2E" w14:textId="77777777" w:rsidR="00551EA2" w:rsidRDefault="00551EA2" w:rsidP="00343737">
      <w:pPr>
        <w:rPr>
          <w:rFonts w:ascii="Arial" w:hAnsi="Arial" w:cs="Arial"/>
        </w:rPr>
      </w:pPr>
      <w:r w:rsidRPr="00551EA2">
        <w:rPr>
          <w:rFonts w:ascii="Arial" w:hAnsi="Arial" w:cs="Arial"/>
        </w:rPr>
        <w:t xml:space="preserve">Your privacy is our top priority. Heidi Health AI Scribe only processes information discussed during your appointment and operates within strict privacy and data protection regulations. Before using Heidi Health AI Scribe, your clinician will explain its role and seek your verbal consent. You have the right to decline its use at any time. </w:t>
      </w:r>
    </w:p>
    <w:p w14:paraId="406EFFB9" w14:textId="77777777" w:rsid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Data Security: Heidi Health AI Scribe complies with UK data protection laws, including GDPR, ensuring that your information is handled securely and confidentially. </w:t>
      </w:r>
    </w:p>
    <w:p w14:paraId="471BB225" w14:textId="77777777" w:rsid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Data Protection Officer: The Heidi Health Data Protection Impact Assessment has been reviewed and approved by our DPO. 9 </w:t>
      </w:r>
    </w:p>
    <w:p w14:paraId="3B730FB6" w14:textId="7D55293B" w:rsidR="00551EA2" w:rsidRPr="00551EA2" w:rsidRDefault="00551EA2" w:rsidP="00343737">
      <w:pPr>
        <w:rPr>
          <w:rFonts w:ascii="Arial" w:hAnsi="Arial" w:cs="Arial"/>
        </w:rPr>
      </w:pPr>
      <w:r w:rsidRPr="00551EA2">
        <w:rPr>
          <w:rFonts w:ascii="Arial" w:hAnsi="Arial" w:cs="Arial"/>
        </w:rPr>
        <w:sym w:font="Symbol" w:char="F0B7"/>
      </w:r>
      <w:r w:rsidRPr="00551EA2">
        <w:rPr>
          <w:rFonts w:ascii="Arial" w:hAnsi="Arial" w:cs="Arial"/>
        </w:rPr>
        <w:t xml:space="preserve"> Your Control: If you prefer not to have Heidi Health AI Scribe involved, please do let your clinician know. This will not affect the quality of care you receive.</w:t>
      </w:r>
    </w:p>
    <w:p w14:paraId="42FDF708" w14:textId="77777777" w:rsidR="00551EA2" w:rsidRDefault="00551EA2" w:rsidP="00343737">
      <w:pPr>
        <w:rPr>
          <w:rFonts w:ascii="Arial" w:hAnsi="Arial" w:cs="Arial"/>
          <w:b/>
          <w:bCs/>
          <w:u w:val="single"/>
        </w:rPr>
      </w:pPr>
    </w:p>
    <w:p w14:paraId="569C2E05" w14:textId="0C8E1D12" w:rsidR="00343737" w:rsidRPr="00343737" w:rsidRDefault="00343737" w:rsidP="00343737">
      <w:pPr>
        <w:rPr>
          <w:rFonts w:ascii="Arial" w:hAnsi="Arial" w:cs="Arial"/>
          <w:b/>
          <w:bCs/>
          <w:u w:val="single"/>
        </w:rPr>
      </w:pPr>
      <w:r w:rsidRPr="00343737">
        <w:rPr>
          <w:rFonts w:ascii="Arial" w:hAnsi="Arial" w:cs="Arial"/>
          <w:b/>
          <w:bCs/>
          <w:u w:val="single"/>
        </w:rPr>
        <w:lastRenderedPageBreak/>
        <w:t>Research and Planning</w:t>
      </w:r>
    </w:p>
    <w:p w14:paraId="409E5F9E" w14:textId="4818978B" w:rsidR="00343737" w:rsidRPr="00343737" w:rsidRDefault="00343737" w:rsidP="00343737">
      <w:pPr>
        <w:rPr>
          <w:rFonts w:ascii="Arial" w:hAnsi="Arial" w:cs="Arial"/>
        </w:rPr>
      </w:pPr>
      <w:r>
        <w:rPr>
          <w:rFonts w:ascii="Arial" w:hAnsi="Arial" w:cs="Arial"/>
        </w:rPr>
        <w:t>North Riding</w:t>
      </w:r>
      <w:r w:rsidRPr="00343737">
        <w:rPr>
          <w:rFonts w:ascii="Arial" w:hAnsi="Arial" w:cs="Arial"/>
        </w:rPr>
        <w:t xml:space="preserve"> PCN takes part in research that uses anonymised or pseudonymised data. This means that patient data cannot be traced back to individuals and is therefore no longer personal data under the 2018 Data Protection Act.</w:t>
      </w:r>
    </w:p>
    <w:p w14:paraId="16C6F629" w14:textId="6658A98B" w:rsidR="00343737" w:rsidRPr="00343737" w:rsidRDefault="00343737" w:rsidP="00343737">
      <w:pPr>
        <w:rPr>
          <w:rFonts w:ascii="Arial" w:hAnsi="Arial" w:cs="Arial"/>
        </w:rPr>
      </w:pPr>
      <w:r w:rsidRPr="00343737">
        <w:rPr>
          <w:rFonts w:ascii="Arial" w:hAnsi="Arial" w:cs="Arial"/>
        </w:rPr>
        <w:t xml:space="preserve">Anonymised or pseudonymised patient data held by </w:t>
      </w:r>
      <w:r>
        <w:rPr>
          <w:rFonts w:ascii="Arial" w:hAnsi="Arial" w:cs="Arial"/>
        </w:rPr>
        <w:t>North Riding</w:t>
      </w:r>
      <w:r w:rsidRPr="00343737">
        <w:rPr>
          <w:rFonts w:ascii="Arial" w:hAnsi="Arial" w:cs="Arial"/>
        </w:rPr>
        <w:t xml:space="preserve"> PCN may also be used to evaluate present services that provide direct care or to plan future ones within </w:t>
      </w:r>
      <w:r>
        <w:rPr>
          <w:rFonts w:ascii="Arial" w:hAnsi="Arial" w:cs="Arial"/>
        </w:rPr>
        <w:t xml:space="preserve">North Riding </w:t>
      </w:r>
      <w:r w:rsidRPr="00343737">
        <w:rPr>
          <w:rFonts w:ascii="Arial" w:hAnsi="Arial" w:cs="Arial"/>
        </w:rPr>
        <w:t>PCN Services or across the local area.</w:t>
      </w:r>
    </w:p>
    <w:p w14:paraId="69DE3A7D" w14:textId="77777777" w:rsidR="00343737" w:rsidRPr="00343737" w:rsidRDefault="00343737" w:rsidP="00343737">
      <w:pPr>
        <w:rPr>
          <w:rFonts w:ascii="Arial" w:hAnsi="Arial" w:cs="Arial"/>
        </w:rPr>
      </w:pPr>
      <w:r w:rsidRPr="00343737">
        <w:rPr>
          <w:rFonts w:ascii="Arial" w:hAnsi="Arial" w:cs="Arial"/>
        </w:rPr>
        <w:t>Identifiable patient data can be used in planning and managing the response of the NHS, nationally, to the Covid 19 virus. This will continue until the COPI notice above is withdrawn.</w:t>
      </w:r>
    </w:p>
    <w:p w14:paraId="0D76C513" w14:textId="7C421A56" w:rsidR="00343737" w:rsidRPr="00343737" w:rsidRDefault="00343737" w:rsidP="00343737">
      <w:pPr>
        <w:rPr>
          <w:rFonts w:ascii="Arial" w:hAnsi="Arial" w:cs="Arial"/>
        </w:rPr>
      </w:pPr>
      <w:r w:rsidRPr="00343737">
        <w:rPr>
          <w:rFonts w:ascii="Arial" w:hAnsi="Arial" w:cs="Arial"/>
        </w:rPr>
        <w:t xml:space="preserve">Sometimes, </w:t>
      </w:r>
      <w:r w:rsidR="00CC3292">
        <w:rPr>
          <w:rFonts w:ascii="Arial" w:hAnsi="Arial" w:cs="Arial"/>
        </w:rPr>
        <w:t>North Riding</w:t>
      </w:r>
      <w:r w:rsidRPr="00343737">
        <w:rPr>
          <w:rFonts w:ascii="Arial" w:hAnsi="Arial" w:cs="Arial"/>
        </w:rPr>
        <w:t xml:space="preserve"> PCN is contacted to ask whether its patients would consider taking part in research on a particular condition. In all such cases, where the data used would identify individual patients, data can only be used where patients have given their consent, and you will be contacted accordingly. Such research projects take place in secure research environments where data protection and data security keep patient data safe, but you have the right to choose not to have your personally identifiable data used in this way (see below).</w:t>
      </w:r>
    </w:p>
    <w:p w14:paraId="2828A22C" w14:textId="77777777" w:rsidR="00CC3292" w:rsidRPr="00CC3292" w:rsidRDefault="00CC3292" w:rsidP="00CC3292">
      <w:pPr>
        <w:rPr>
          <w:rFonts w:ascii="Arial" w:hAnsi="Arial" w:cs="Arial"/>
          <w:b/>
          <w:bCs/>
          <w:u w:val="single"/>
        </w:rPr>
      </w:pPr>
      <w:r w:rsidRPr="00CC3292">
        <w:rPr>
          <w:rFonts w:ascii="Arial" w:hAnsi="Arial" w:cs="Arial"/>
          <w:b/>
          <w:bCs/>
          <w:u w:val="single"/>
        </w:rPr>
        <w:t>Data Opt-Outs (The National Data Opt-out) and Your Right to Object</w:t>
      </w:r>
    </w:p>
    <w:p w14:paraId="39E24BD3" w14:textId="77777777" w:rsidR="00CC3292" w:rsidRPr="00CC3292" w:rsidRDefault="00CC3292" w:rsidP="00CC3292">
      <w:pPr>
        <w:rPr>
          <w:rFonts w:ascii="Arial" w:hAnsi="Arial" w:cs="Arial"/>
        </w:rPr>
      </w:pPr>
      <w:r w:rsidRPr="00CC3292">
        <w:rPr>
          <w:rFonts w:ascii="Arial" w:hAnsi="Arial" w:cs="Arial"/>
        </w:rPr>
        <w:t>You cannot opt-out of your data being shared for the purposes of providing you with direct care. You can opt-out from having your confidential data (i.e. data that can identify you) being used for purposes beyond direct care, such as research and planning. To do this, you can check or change your preferences at </w:t>
      </w:r>
      <w:hyperlink r:id="rId12" w:history="1">
        <w:r w:rsidRPr="00CC3292">
          <w:rPr>
            <w:rStyle w:val="Hyperlink"/>
            <w:rFonts w:ascii="Arial" w:hAnsi="Arial" w:cs="Arial"/>
          </w:rPr>
          <w:t>www.nhs.uk/your-nhs-data-matters</w:t>
        </w:r>
      </w:hyperlink>
      <w:r w:rsidRPr="00CC3292">
        <w:rPr>
          <w:rFonts w:ascii="Arial" w:hAnsi="Arial" w:cs="Arial"/>
        </w:rPr>
        <w:t> on-line and follow the instructions if you wish to opt out. This opt-out is recorded against your NHS number on the NHS ‘spine’.</w:t>
      </w:r>
    </w:p>
    <w:p w14:paraId="3983AF53" w14:textId="77777777" w:rsidR="00CC3292" w:rsidRPr="00CC3292" w:rsidRDefault="00CC3292" w:rsidP="00CC3292">
      <w:pPr>
        <w:rPr>
          <w:rFonts w:ascii="Arial" w:hAnsi="Arial" w:cs="Arial"/>
        </w:rPr>
      </w:pPr>
      <w:r w:rsidRPr="00CC3292">
        <w:rPr>
          <w:rFonts w:ascii="Arial" w:hAnsi="Arial" w:cs="Arial"/>
        </w:rPr>
        <w:t>There are some situations where your data will be shared in addition to providing you with direct care. These include:</w:t>
      </w:r>
    </w:p>
    <w:p w14:paraId="0BE9DC8C" w14:textId="2F6DF1F7" w:rsidR="00CC3292" w:rsidRPr="00CC3292" w:rsidRDefault="00CC3292" w:rsidP="00CC3292">
      <w:pPr>
        <w:numPr>
          <w:ilvl w:val="0"/>
          <w:numId w:val="5"/>
        </w:numPr>
        <w:rPr>
          <w:rFonts w:ascii="Arial" w:hAnsi="Arial" w:cs="Arial"/>
        </w:rPr>
      </w:pPr>
      <w:r w:rsidRPr="00CC3292">
        <w:rPr>
          <w:rFonts w:ascii="Arial" w:hAnsi="Arial" w:cs="Arial"/>
        </w:rPr>
        <w:t>Situations where data is needed in the “public interest”, e.g. in cases of epidemic where communicable diseases need to be diagnosed and the spread of their infection prevented or controlled.</w:t>
      </w:r>
    </w:p>
    <w:p w14:paraId="25BE8EB9" w14:textId="77777777" w:rsidR="00CC3292" w:rsidRPr="00CC3292" w:rsidRDefault="00CC3292" w:rsidP="00CC3292">
      <w:pPr>
        <w:numPr>
          <w:ilvl w:val="0"/>
          <w:numId w:val="5"/>
        </w:numPr>
        <w:rPr>
          <w:rFonts w:ascii="Arial" w:hAnsi="Arial" w:cs="Arial"/>
        </w:rPr>
      </w:pPr>
      <w:r w:rsidRPr="00CC3292">
        <w:rPr>
          <w:rFonts w:ascii="Arial" w:hAnsi="Arial" w:cs="Arial"/>
        </w:rPr>
        <w:t>To monitor and deliver vaccination programmes</w:t>
      </w:r>
    </w:p>
    <w:p w14:paraId="1A761AF6" w14:textId="77777777" w:rsidR="00CC3292" w:rsidRPr="00CC3292" w:rsidRDefault="00CC3292" w:rsidP="00CC3292">
      <w:pPr>
        <w:numPr>
          <w:ilvl w:val="0"/>
          <w:numId w:val="5"/>
        </w:numPr>
        <w:rPr>
          <w:rFonts w:ascii="Arial" w:hAnsi="Arial" w:cs="Arial"/>
        </w:rPr>
      </w:pPr>
      <w:r w:rsidRPr="00CC3292">
        <w:rPr>
          <w:rFonts w:ascii="Arial" w:hAnsi="Arial" w:cs="Arial"/>
        </w:rPr>
        <w:t>To manage risks of infection from food or water supplies or the environment</w:t>
      </w:r>
    </w:p>
    <w:p w14:paraId="3FF51B58" w14:textId="77777777" w:rsidR="00CC3292" w:rsidRPr="00CC3292" w:rsidRDefault="00CC3292" w:rsidP="00CC3292">
      <w:pPr>
        <w:rPr>
          <w:rFonts w:ascii="Arial" w:hAnsi="Arial" w:cs="Arial"/>
        </w:rPr>
      </w:pPr>
      <w:r w:rsidRPr="00CC3292">
        <w:rPr>
          <w:rFonts w:ascii="Arial" w:hAnsi="Arial" w:cs="Arial"/>
        </w:rPr>
        <w:t>You can find out more about how your patient information is used at </w:t>
      </w:r>
      <w:hyperlink r:id="rId13" w:history="1">
        <w:r w:rsidRPr="00CC3292">
          <w:rPr>
            <w:rStyle w:val="Hyperlink"/>
            <w:rFonts w:ascii="Arial" w:hAnsi="Arial" w:cs="Arial"/>
          </w:rPr>
          <w:t>https://www.hra.nhs.uk/</w:t>
        </w:r>
      </w:hyperlink>
      <w:r w:rsidRPr="00CC3292">
        <w:rPr>
          <w:rFonts w:ascii="Arial" w:hAnsi="Arial" w:cs="Arial"/>
        </w:rPr>
        <w:t> and </w:t>
      </w:r>
      <w:hyperlink r:id="rId14" w:history="1">
        <w:r w:rsidRPr="00CC3292">
          <w:rPr>
            <w:rStyle w:val="Hyperlink"/>
            <w:rFonts w:ascii="Arial" w:hAnsi="Arial" w:cs="Arial"/>
          </w:rPr>
          <w:t>https://understandingpatientdata.org.uk/what-you-need-know/</w:t>
        </w:r>
      </w:hyperlink>
    </w:p>
    <w:p w14:paraId="143B27D9" w14:textId="77777777" w:rsidR="00551EA2" w:rsidRDefault="00551EA2" w:rsidP="00CC3292">
      <w:pPr>
        <w:rPr>
          <w:rFonts w:ascii="Arial" w:hAnsi="Arial" w:cs="Arial"/>
          <w:b/>
          <w:bCs/>
          <w:u w:val="single"/>
        </w:rPr>
      </w:pPr>
    </w:p>
    <w:p w14:paraId="5785C5B5" w14:textId="77777777" w:rsidR="00551EA2" w:rsidRDefault="00551EA2" w:rsidP="00CC3292">
      <w:pPr>
        <w:rPr>
          <w:rFonts w:ascii="Arial" w:hAnsi="Arial" w:cs="Arial"/>
          <w:b/>
          <w:bCs/>
          <w:u w:val="single"/>
        </w:rPr>
      </w:pPr>
    </w:p>
    <w:p w14:paraId="7F1158CF" w14:textId="3C745FA3" w:rsidR="00CC3292" w:rsidRPr="00CC3292" w:rsidRDefault="00CC3292" w:rsidP="00CC3292">
      <w:pPr>
        <w:rPr>
          <w:rFonts w:ascii="Arial" w:hAnsi="Arial" w:cs="Arial"/>
          <w:b/>
          <w:bCs/>
          <w:u w:val="single"/>
        </w:rPr>
      </w:pPr>
      <w:r w:rsidRPr="00CC3292">
        <w:rPr>
          <w:rFonts w:ascii="Arial" w:hAnsi="Arial" w:cs="Arial"/>
          <w:b/>
          <w:bCs/>
          <w:u w:val="single"/>
        </w:rPr>
        <w:lastRenderedPageBreak/>
        <w:t>How long is the information retained?</w:t>
      </w:r>
    </w:p>
    <w:p w14:paraId="5788F54F" w14:textId="77777777" w:rsidR="00CC3292" w:rsidRPr="00CC3292" w:rsidRDefault="00CC3292" w:rsidP="00CC3292">
      <w:pPr>
        <w:rPr>
          <w:rFonts w:ascii="Arial" w:hAnsi="Arial" w:cs="Arial"/>
        </w:rPr>
      </w:pPr>
      <w:r w:rsidRPr="00CC3292">
        <w:rPr>
          <w:rFonts w:ascii="Arial" w:hAnsi="Arial" w:cs="Arial"/>
        </w:rPr>
        <w:t>The medical record is retained at the patient’s practice for the lifetime of the patient, after which it is presently sent to Primary Care Services England (PCSE). If you move to another practice your records will be transferred to that practice.</w:t>
      </w:r>
    </w:p>
    <w:p w14:paraId="09E91CA9" w14:textId="45E78268" w:rsidR="00343737" w:rsidRPr="00343737" w:rsidRDefault="00CC3292" w:rsidP="00343737">
      <w:pPr>
        <w:rPr>
          <w:rFonts w:ascii="Arial" w:hAnsi="Arial" w:cs="Arial"/>
          <w:b/>
          <w:bCs/>
          <w:u w:val="single"/>
        </w:rPr>
      </w:pPr>
      <w:r w:rsidRPr="00CC3292">
        <w:rPr>
          <w:rFonts w:ascii="Arial" w:hAnsi="Arial" w:cs="Arial"/>
          <w:b/>
          <w:bCs/>
          <w:u w:val="single"/>
        </w:rPr>
        <w:t>Summary</w:t>
      </w:r>
    </w:p>
    <w:tbl>
      <w:tblPr>
        <w:tblStyle w:val="TableGrid"/>
        <w:tblW w:w="0" w:type="auto"/>
        <w:tblLook w:val="04A0" w:firstRow="1" w:lastRow="0" w:firstColumn="1" w:lastColumn="0" w:noHBand="0" w:noVBand="1"/>
      </w:tblPr>
      <w:tblGrid>
        <w:gridCol w:w="2689"/>
        <w:gridCol w:w="6327"/>
      </w:tblGrid>
      <w:tr w:rsidR="00CC3292" w14:paraId="51FAAA7C" w14:textId="77777777" w:rsidTr="00CC3292">
        <w:tc>
          <w:tcPr>
            <w:tcW w:w="2689" w:type="dxa"/>
          </w:tcPr>
          <w:p w14:paraId="0CDFFB0C" w14:textId="457C7B43" w:rsidR="00CC3292" w:rsidRPr="00CC3292" w:rsidRDefault="00CC3292" w:rsidP="00343737">
            <w:pPr>
              <w:rPr>
                <w:rFonts w:ascii="Arial" w:hAnsi="Arial" w:cs="Arial"/>
                <w:b/>
                <w:bCs/>
              </w:rPr>
            </w:pPr>
            <w:r w:rsidRPr="00CC3292">
              <w:rPr>
                <w:rFonts w:ascii="Arial" w:hAnsi="Arial" w:cs="Arial"/>
                <w:b/>
                <w:bCs/>
              </w:rPr>
              <w:t>Data Controller</w:t>
            </w:r>
          </w:p>
        </w:tc>
        <w:tc>
          <w:tcPr>
            <w:tcW w:w="6327" w:type="dxa"/>
          </w:tcPr>
          <w:p w14:paraId="07AEA4F3" w14:textId="01CAE303" w:rsidR="00CC3292" w:rsidRDefault="00CC3292" w:rsidP="00343737">
            <w:pPr>
              <w:rPr>
                <w:rFonts w:ascii="Arial" w:hAnsi="Arial" w:cs="Arial"/>
              </w:rPr>
            </w:pPr>
            <w:r>
              <w:rPr>
                <w:rFonts w:ascii="Arial" w:hAnsi="Arial" w:cs="Arial"/>
              </w:rPr>
              <w:t>Your GP Practice</w:t>
            </w:r>
          </w:p>
        </w:tc>
      </w:tr>
      <w:tr w:rsidR="00CC3292" w14:paraId="191A18B4" w14:textId="77777777" w:rsidTr="00CC3292">
        <w:tc>
          <w:tcPr>
            <w:tcW w:w="2689" w:type="dxa"/>
          </w:tcPr>
          <w:p w14:paraId="186B3755" w14:textId="1E3AB47C" w:rsidR="00CC3292" w:rsidRPr="00CC3292" w:rsidRDefault="00CC3292" w:rsidP="00343737">
            <w:pPr>
              <w:rPr>
                <w:rFonts w:ascii="Arial" w:hAnsi="Arial" w:cs="Arial"/>
                <w:b/>
                <w:bCs/>
              </w:rPr>
            </w:pPr>
            <w:r w:rsidRPr="00CC3292">
              <w:rPr>
                <w:rFonts w:ascii="Arial" w:hAnsi="Arial" w:cs="Arial"/>
                <w:b/>
                <w:bCs/>
              </w:rPr>
              <w:t>Data Protection Officer</w:t>
            </w:r>
          </w:p>
        </w:tc>
        <w:tc>
          <w:tcPr>
            <w:tcW w:w="6327" w:type="dxa"/>
          </w:tcPr>
          <w:p w14:paraId="64367B03" w14:textId="46CAA096" w:rsidR="00CC3292" w:rsidRDefault="00CC3292" w:rsidP="00343737">
            <w:pPr>
              <w:rPr>
                <w:rFonts w:ascii="Arial" w:hAnsi="Arial" w:cs="Arial"/>
              </w:rPr>
            </w:pPr>
            <w:r w:rsidRPr="00CC3292">
              <w:rPr>
                <w:rFonts w:ascii="Arial" w:hAnsi="Arial" w:cs="Arial"/>
              </w:rPr>
              <w:t xml:space="preserve">Our Data Protection Officer is </w:t>
            </w:r>
            <w:r>
              <w:rPr>
                <w:rFonts w:ascii="Arial" w:hAnsi="Arial" w:cs="Arial"/>
              </w:rPr>
              <w:t>Barry Jackson</w:t>
            </w:r>
            <w:r w:rsidRPr="00CC3292">
              <w:rPr>
                <w:rFonts w:ascii="Arial" w:hAnsi="Arial" w:cs="Arial"/>
              </w:rPr>
              <w:t xml:space="preserve"> and email is: </w:t>
            </w:r>
            <w:r w:rsidR="00551EA2">
              <w:rPr>
                <w:rFonts w:ascii="Arial" w:hAnsi="Arial" w:cs="Arial"/>
              </w:rPr>
              <w:t>N3i.dpo@nhs.net</w:t>
            </w:r>
            <w:r w:rsidRPr="00CC3292">
              <w:rPr>
                <w:rFonts w:ascii="Arial" w:hAnsi="Arial" w:cs="Arial"/>
              </w:rPr>
              <w:t xml:space="preserve"> you can also contact the Business manager at your GP practice.</w:t>
            </w:r>
          </w:p>
        </w:tc>
      </w:tr>
      <w:tr w:rsidR="00CC3292" w14:paraId="6023651C" w14:textId="77777777" w:rsidTr="00CC3292">
        <w:tc>
          <w:tcPr>
            <w:tcW w:w="2689" w:type="dxa"/>
          </w:tcPr>
          <w:p w14:paraId="19327979" w14:textId="3D80BB7E" w:rsidR="00CC3292" w:rsidRDefault="00CC3292" w:rsidP="00343737">
            <w:pPr>
              <w:rPr>
                <w:rFonts w:ascii="Arial" w:hAnsi="Arial" w:cs="Arial"/>
              </w:rPr>
            </w:pPr>
            <w:r w:rsidRPr="00CC3292">
              <w:rPr>
                <w:rFonts w:ascii="Arial" w:hAnsi="Arial" w:cs="Arial"/>
                <w:b/>
                <w:bCs/>
              </w:rPr>
              <w:t>Purpose of Processing your personal information</w:t>
            </w:r>
          </w:p>
        </w:tc>
        <w:tc>
          <w:tcPr>
            <w:tcW w:w="6327" w:type="dxa"/>
          </w:tcPr>
          <w:p w14:paraId="406AE6C2" w14:textId="0F5AF3C9" w:rsidR="00CC3292" w:rsidRDefault="00CC3292" w:rsidP="00343737">
            <w:pPr>
              <w:rPr>
                <w:rFonts w:ascii="Arial" w:hAnsi="Arial" w:cs="Arial"/>
              </w:rPr>
            </w:pPr>
            <w:r w:rsidRPr="00CC3292">
              <w:rPr>
                <w:rFonts w:ascii="Arial" w:hAnsi="Arial" w:cs="Arial"/>
              </w:rPr>
              <w:t>Direct Care delivered to an individual patient, much of which is provided in our clinical services.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and social care professionals to provide the most appropriate advice, investigations, treatments, therapies and or care. </w:t>
            </w:r>
          </w:p>
        </w:tc>
      </w:tr>
      <w:tr w:rsidR="00CC3292" w14:paraId="65D43DCC" w14:textId="77777777" w:rsidTr="00CC3292">
        <w:tc>
          <w:tcPr>
            <w:tcW w:w="2689" w:type="dxa"/>
          </w:tcPr>
          <w:p w14:paraId="48EACBB2" w14:textId="4980D4A8" w:rsidR="00CC3292" w:rsidRDefault="00CC3292" w:rsidP="00343737">
            <w:pPr>
              <w:rPr>
                <w:rFonts w:ascii="Arial" w:hAnsi="Arial" w:cs="Arial"/>
              </w:rPr>
            </w:pPr>
            <w:r w:rsidRPr="00CC3292">
              <w:rPr>
                <w:rFonts w:ascii="Arial" w:hAnsi="Arial" w:cs="Arial"/>
                <w:b/>
                <w:bCs/>
              </w:rPr>
              <w:t>Lawful Basis for Processing your personal information</w:t>
            </w:r>
          </w:p>
        </w:tc>
        <w:tc>
          <w:tcPr>
            <w:tcW w:w="6327" w:type="dxa"/>
          </w:tcPr>
          <w:p w14:paraId="3E703AC9" w14:textId="77777777" w:rsidR="00CC3292" w:rsidRDefault="00CC3292" w:rsidP="00343737">
            <w:pPr>
              <w:rPr>
                <w:rFonts w:ascii="Arial" w:hAnsi="Arial" w:cs="Arial"/>
              </w:rPr>
            </w:pPr>
            <w:r w:rsidRPr="00CC3292">
              <w:rPr>
                <w:rFonts w:ascii="Arial" w:hAnsi="Arial" w:cs="Arial"/>
              </w:rPr>
              <w:t xml:space="preserve">The processing of personal data in the delivery of direct care and for providers’ administrative purposes in this surgery and in support of direct care elsewhere is supported under the following Article 6 and 9 conditions of the GDPR:   </w:t>
            </w:r>
          </w:p>
          <w:p w14:paraId="020DA5A6" w14:textId="77777777" w:rsidR="00CC3292" w:rsidRDefault="00CC3292" w:rsidP="00343737">
            <w:pPr>
              <w:rPr>
                <w:rFonts w:ascii="Arial" w:hAnsi="Arial" w:cs="Arial"/>
              </w:rPr>
            </w:pPr>
            <w:r w:rsidRPr="00CC3292">
              <w:rPr>
                <w:rFonts w:ascii="Arial" w:hAnsi="Arial" w:cs="Arial"/>
              </w:rPr>
              <w:t xml:space="preserve">Article 6 (1) (c) – the processing is necessary for compliance with a legal obligation to which the controller (the practice is subject) and/or   </w:t>
            </w:r>
          </w:p>
          <w:p w14:paraId="566FBB3A" w14:textId="77777777" w:rsidR="00CC3292" w:rsidRDefault="00CC3292" w:rsidP="00343737">
            <w:pPr>
              <w:rPr>
                <w:rFonts w:ascii="Arial" w:hAnsi="Arial" w:cs="Arial"/>
              </w:rPr>
            </w:pPr>
            <w:r w:rsidRPr="00CC3292">
              <w:rPr>
                <w:rFonts w:ascii="Arial" w:hAnsi="Arial" w:cs="Arial"/>
              </w:rPr>
              <w:t xml:space="preserve">Article 6(1)(e) ‘…the processing is necessary for the performance of a task carried out in the public interest or in the exercise of official authority…’.   </w:t>
            </w:r>
          </w:p>
          <w:p w14:paraId="522035BE" w14:textId="68237E54" w:rsidR="00CC3292" w:rsidRDefault="00CC3292" w:rsidP="00343737">
            <w:pPr>
              <w:rPr>
                <w:rFonts w:ascii="Arial" w:hAnsi="Arial" w:cs="Arial"/>
              </w:rPr>
            </w:pPr>
            <w:r w:rsidRPr="00CC3292">
              <w:rPr>
                <w:rFonts w:ascii="Arial" w:hAnsi="Arial" w:cs="Arial"/>
              </w:rPr>
              <w:t xml:space="preserve">Health data is defined as a special kind of personal data and is also processed by </w:t>
            </w:r>
            <w:r>
              <w:rPr>
                <w:rFonts w:ascii="Arial" w:hAnsi="Arial" w:cs="Arial"/>
              </w:rPr>
              <w:t>North Riding PCN</w:t>
            </w:r>
            <w:r w:rsidRPr="00CC3292">
              <w:rPr>
                <w:rFonts w:ascii="Arial" w:hAnsi="Arial" w:cs="Arial"/>
              </w:rPr>
              <w:t xml:space="preserve"> under 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955469" w14:textId="3B694F9E" w:rsidR="00CC3292" w:rsidRDefault="00CC3292" w:rsidP="00343737">
            <w:pPr>
              <w:rPr>
                <w:rFonts w:ascii="Arial" w:hAnsi="Arial" w:cs="Arial"/>
              </w:rPr>
            </w:pPr>
            <w:r w:rsidRPr="00CC3292">
              <w:rPr>
                <w:rFonts w:ascii="Arial" w:hAnsi="Arial" w:cs="Arial"/>
              </w:rPr>
              <w:t>The sharing of your personal data also takes place in accordance with the common law duty of confidentiality. Performance of this duty does not require consent from the patient where the proposed use of their data is either for individual care or in the public interest.</w:t>
            </w:r>
          </w:p>
        </w:tc>
      </w:tr>
      <w:tr w:rsidR="00CC3292" w14:paraId="5916C855" w14:textId="77777777" w:rsidTr="00CC3292">
        <w:tc>
          <w:tcPr>
            <w:tcW w:w="2689" w:type="dxa"/>
          </w:tcPr>
          <w:p w14:paraId="1A53AC7A" w14:textId="469B9B40" w:rsidR="00CC3292" w:rsidRDefault="00CC3292" w:rsidP="00343737">
            <w:pPr>
              <w:rPr>
                <w:rFonts w:ascii="Arial" w:hAnsi="Arial" w:cs="Arial"/>
              </w:rPr>
            </w:pPr>
            <w:r w:rsidRPr="00CC3292">
              <w:rPr>
                <w:rFonts w:ascii="Arial" w:hAnsi="Arial" w:cs="Arial"/>
                <w:b/>
                <w:bCs/>
              </w:rPr>
              <w:t xml:space="preserve">Recipient or categories of </w:t>
            </w:r>
            <w:r w:rsidRPr="00CC3292">
              <w:rPr>
                <w:rFonts w:ascii="Arial" w:hAnsi="Arial" w:cs="Arial"/>
                <w:b/>
                <w:bCs/>
              </w:rPr>
              <w:lastRenderedPageBreak/>
              <w:t>recipients of your personal data</w:t>
            </w:r>
          </w:p>
        </w:tc>
        <w:tc>
          <w:tcPr>
            <w:tcW w:w="6327" w:type="dxa"/>
          </w:tcPr>
          <w:p w14:paraId="170C9758" w14:textId="7FB80C89" w:rsidR="00CC3292" w:rsidRDefault="00CC3292" w:rsidP="00343737">
            <w:pPr>
              <w:rPr>
                <w:rFonts w:ascii="Arial" w:hAnsi="Arial" w:cs="Arial"/>
              </w:rPr>
            </w:pPr>
            <w:r w:rsidRPr="00CC3292">
              <w:rPr>
                <w:rFonts w:ascii="Arial" w:hAnsi="Arial" w:cs="Arial"/>
              </w:rPr>
              <w:lastRenderedPageBreak/>
              <w:t xml:space="preserve">According to the particular course of treatment, your data will be shared with health and care professionals and support staff at hospitals, diagnostic and treatment </w:t>
            </w:r>
            <w:r w:rsidRPr="00CC3292">
              <w:rPr>
                <w:rFonts w:ascii="Arial" w:hAnsi="Arial" w:cs="Arial"/>
              </w:rPr>
              <w:lastRenderedPageBreak/>
              <w:t>centres who contribute to your personal care. These will include:  GPs, Hospitals, Primary Care Networks, Local GP provider organisation’s, Commissioning Support Units, Social Care Services</w:t>
            </w:r>
            <w:r>
              <w:rPr>
                <w:rFonts w:ascii="Arial" w:hAnsi="Arial" w:cs="Arial"/>
              </w:rPr>
              <w:t xml:space="preserve">, </w:t>
            </w:r>
            <w:r w:rsidRPr="00CC3292">
              <w:rPr>
                <w:rFonts w:ascii="Arial" w:hAnsi="Arial" w:cs="Arial"/>
              </w:rPr>
              <w:t>Health and Social Care Information Centre (HSCIC), Clinical Excellence Group, Community Pharmacists, District Nurses, Independent Contractors such as dentists, opticians, pharmacists, Private Sector Providers, Voluntary Sector Providers, Ambulance Trusts, Integrated Care Boards, Local Authorities, Education Services, Fire and Rescue Services, Police &amp; Judicial Services, The Child Health Information Service, Substance Misuse Remote Workers, Coroner’s Service, Voluntary Sector Providers, Private Sector Providers, Social Prescribing Link Workers. </w:t>
            </w:r>
          </w:p>
        </w:tc>
      </w:tr>
      <w:tr w:rsidR="00CC3292" w14:paraId="5BB75E97" w14:textId="77777777" w:rsidTr="00CC3292">
        <w:tc>
          <w:tcPr>
            <w:tcW w:w="2689" w:type="dxa"/>
          </w:tcPr>
          <w:p w14:paraId="5A105C03" w14:textId="29AD223B" w:rsidR="00CC3292" w:rsidRDefault="00CC3292" w:rsidP="00343737">
            <w:pPr>
              <w:rPr>
                <w:rFonts w:ascii="Arial" w:hAnsi="Arial" w:cs="Arial"/>
              </w:rPr>
            </w:pPr>
            <w:r w:rsidRPr="00CC3292">
              <w:rPr>
                <w:rFonts w:ascii="Arial" w:hAnsi="Arial" w:cs="Arial"/>
                <w:b/>
                <w:bCs/>
              </w:rPr>
              <w:lastRenderedPageBreak/>
              <w:t>Your right to object</w:t>
            </w:r>
          </w:p>
        </w:tc>
        <w:tc>
          <w:tcPr>
            <w:tcW w:w="6327" w:type="dxa"/>
          </w:tcPr>
          <w:p w14:paraId="4A9459C7" w14:textId="77777777" w:rsidR="00CC3292" w:rsidRDefault="00CC3292" w:rsidP="00343737">
            <w:pPr>
              <w:rPr>
                <w:rFonts w:ascii="Arial" w:hAnsi="Arial" w:cs="Arial"/>
              </w:rPr>
            </w:pPr>
            <w:r w:rsidRPr="00CC3292">
              <w:rPr>
                <w:rFonts w:ascii="Arial" w:hAnsi="Arial" w:cs="Arial"/>
              </w:rPr>
              <w:t xml:space="preserve">You have the right to object to some or all of the information being processed, which is detailed under Article 21. Exercising your right to object may well prevent the referral or course of treatment from going ahead.    </w:t>
            </w:r>
          </w:p>
          <w:p w14:paraId="40A6D7F3" w14:textId="41A3F900" w:rsidR="00CC3292" w:rsidRDefault="00CC3292" w:rsidP="00343737">
            <w:pPr>
              <w:rPr>
                <w:rFonts w:ascii="Arial" w:hAnsi="Arial" w:cs="Arial"/>
              </w:rPr>
            </w:pPr>
            <w:r w:rsidRPr="00CC3292">
              <w:rPr>
                <w:rFonts w:ascii="Arial" w:hAnsi="Arial" w:cs="Arial"/>
              </w:rPr>
              <w:t>You should be aware that this is a right to raise an objection, that is not the same as having an absolute right to have your wishes granted in every circumstance. </w:t>
            </w:r>
          </w:p>
        </w:tc>
      </w:tr>
      <w:tr w:rsidR="00CC3292" w14:paraId="4A02FE63" w14:textId="77777777" w:rsidTr="00CC3292">
        <w:tc>
          <w:tcPr>
            <w:tcW w:w="2689" w:type="dxa"/>
          </w:tcPr>
          <w:p w14:paraId="19657B68" w14:textId="0E5BB2A7" w:rsidR="00CC3292" w:rsidRPr="00CC3292" w:rsidRDefault="00CC3292" w:rsidP="00343737">
            <w:pPr>
              <w:rPr>
                <w:rFonts w:ascii="Arial" w:hAnsi="Arial" w:cs="Arial"/>
                <w:b/>
                <w:bCs/>
              </w:rPr>
            </w:pPr>
            <w:r w:rsidRPr="00CC3292">
              <w:rPr>
                <w:rFonts w:ascii="Arial" w:hAnsi="Arial" w:cs="Arial"/>
                <w:b/>
                <w:bCs/>
              </w:rPr>
              <w:t>Your right to access and correction</w:t>
            </w:r>
          </w:p>
        </w:tc>
        <w:tc>
          <w:tcPr>
            <w:tcW w:w="6327" w:type="dxa"/>
          </w:tcPr>
          <w:p w14:paraId="653C0119" w14:textId="361511F5" w:rsidR="00CC3292" w:rsidRPr="00CC3292" w:rsidRDefault="00CC3292" w:rsidP="00343737">
            <w:pPr>
              <w:rPr>
                <w:rFonts w:ascii="Arial" w:hAnsi="Arial" w:cs="Arial"/>
              </w:rPr>
            </w:pPr>
            <w:r w:rsidRPr="00CC3292">
              <w:rPr>
                <w:rFonts w:ascii="Arial" w:hAnsi="Arial" w:cs="Arial"/>
              </w:rPr>
              <w:t>You have the right to access your data and to have any inaccuracies corrected. There is no right to have medical records deleted except when ordered by a court of Law. </w:t>
            </w:r>
          </w:p>
        </w:tc>
      </w:tr>
      <w:tr w:rsidR="00CC3292" w14:paraId="72CB4CB2" w14:textId="77777777" w:rsidTr="00CC3292">
        <w:tc>
          <w:tcPr>
            <w:tcW w:w="2689" w:type="dxa"/>
          </w:tcPr>
          <w:p w14:paraId="4E8FD045" w14:textId="378C9F02" w:rsidR="00CC3292" w:rsidRPr="00CC3292" w:rsidRDefault="00CC3292" w:rsidP="00343737">
            <w:pPr>
              <w:rPr>
                <w:rFonts w:ascii="Arial" w:hAnsi="Arial" w:cs="Arial"/>
                <w:b/>
                <w:bCs/>
              </w:rPr>
            </w:pPr>
            <w:r w:rsidRPr="00CC3292">
              <w:rPr>
                <w:rFonts w:ascii="Arial" w:hAnsi="Arial" w:cs="Arial"/>
                <w:b/>
                <w:bCs/>
              </w:rPr>
              <w:t>How long do we hold your personal data for?</w:t>
            </w:r>
          </w:p>
        </w:tc>
        <w:tc>
          <w:tcPr>
            <w:tcW w:w="6327" w:type="dxa"/>
          </w:tcPr>
          <w:p w14:paraId="7E35D8CE" w14:textId="05C72899" w:rsidR="00CC3292" w:rsidRPr="00CC3292" w:rsidRDefault="00CC3292" w:rsidP="00343737">
            <w:pPr>
              <w:rPr>
                <w:rFonts w:ascii="Arial" w:hAnsi="Arial" w:cs="Arial"/>
              </w:rPr>
            </w:pPr>
            <w:r w:rsidRPr="00CC3292">
              <w:rPr>
                <w:rFonts w:ascii="Arial" w:hAnsi="Arial" w:cs="Arial"/>
              </w:rPr>
              <w:t>We retain your personal data in line with both national guidance and law, which can be found here:   </w:t>
            </w:r>
            <w:hyperlink r:id="rId15" w:history="1">
              <w:r w:rsidRPr="00CC3292">
                <w:rPr>
                  <w:rStyle w:val="Hyperlink"/>
                  <w:rFonts w:ascii="Arial" w:hAnsi="Arial" w:cs="Arial"/>
                </w:rPr>
                <w:t>https://www.nhsx.nhs.uk/information-governance/guidance/records-management-code/</w:t>
              </w:r>
            </w:hyperlink>
            <w:r w:rsidRPr="00CC3292">
              <w:rPr>
                <w:rFonts w:ascii="Arial" w:hAnsi="Arial" w:cs="Arial"/>
              </w:rPr>
              <w:t> </w:t>
            </w:r>
          </w:p>
        </w:tc>
      </w:tr>
      <w:tr w:rsidR="00CC3292" w14:paraId="1B6661A3" w14:textId="77777777" w:rsidTr="00CC3292">
        <w:tc>
          <w:tcPr>
            <w:tcW w:w="2689" w:type="dxa"/>
          </w:tcPr>
          <w:p w14:paraId="4C89CCA6" w14:textId="358C574E" w:rsidR="00CC3292" w:rsidRPr="00CC3292" w:rsidRDefault="005912A6" w:rsidP="00343737">
            <w:pPr>
              <w:rPr>
                <w:rFonts w:ascii="Arial" w:hAnsi="Arial" w:cs="Arial"/>
                <w:b/>
                <w:bCs/>
              </w:rPr>
            </w:pPr>
            <w:r w:rsidRPr="005912A6">
              <w:rPr>
                <w:rFonts w:ascii="Arial" w:hAnsi="Arial" w:cs="Arial"/>
                <w:b/>
                <w:bCs/>
              </w:rPr>
              <w:t>Your right to complain</w:t>
            </w:r>
          </w:p>
        </w:tc>
        <w:tc>
          <w:tcPr>
            <w:tcW w:w="6327" w:type="dxa"/>
          </w:tcPr>
          <w:p w14:paraId="2410B87C" w14:textId="6A8563D5" w:rsidR="005912A6" w:rsidRDefault="005912A6" w:rsidP="00343737">
            <w:pPr>
              <w:rPr>
                <w:rFonts w:ascii="Arial" w:hAnsi="Arial" w:cs="Arial"/>
              </w:rPr>
            </w:pPr>
            <w:r w:rsidRPr="005912A6">
              <w:rPr>
                <w:rFonts w:ascii="Arial" w:hAnsi="Arial" w:cs="Arial"/>
              </w:rPr>
              <w:t xml:space="preserve">If you have a question or wish to complain about the use of your data, please contact your GP practice or the Data Protection Officer at: </w:t>
            </w:r>
            <w:r w:rsidR="00551EA2">
              <w:rPr>
                <w:rFonts w:ascii="Arial" w:hAnsi="Arial" w:cs="Arial"/>
              </w:rPr>
              <w:t>N3i.dpo@</w:t>
            </w:r>
            <w:r w:rsidRPr="005912A6">
              <w:rPr>
                <w:rFonts w:ascii="Arial" w:hAnsi="Arial" w:cs="Arial"/>
              </w:rPr>
              <w:t>nhs.net     </w:t>
            </w:r>
          </w:p>
          <w:p w14:paraId="5D7CE4E7" w14:textId="02AC38EE" w:rsidR="00CC3292" w:rsidRPr="00CC3292" w:rsidRDefault="005912A6" w:rsidP="00343737">
            <w:pPr>
              <w:rPr>
                <w:rFonts w:ascii="Arial" w:hAnsi="Arial" w:cs="Arial"/>
              </w:rPr>
            </w:pPr>
            <w:r w:rsidRPr="005912A6">
              <w:rPr>
                <w:rFonts w:ascii="Arial" w:hAnsi="Arial" w:cs="Arial"/>
              </w:rPr>
              <w:t>The use of personal data is overseen by the Information Commissioners Office, often known as the ICO. You can call their helpline Tel: 0303 123 1113 (local rate) 01625 545 745 (national rate) or you can write to them at The ICO, Wycliffe House, Water Ln, Wilmslow SK9 5AF</w:t>
            </w:r>
          </w:p>
        </w:tc>
      </w:tr>
    </w:tbl>
    <w:p w14:paraId="29CEB448" w14:textId="77777777" w:rsidR="00343737" w:rsidRDefault="00343737" w:rsidP="00343737">
      <w:pPr>
        <w:rPr>
          <w:rFonts w:ascii="Arial" w:hAnsi="Arial" w:cs="Arial"/>
        </w:rPr>
      </w:pPr>
    </w:p>
    <w:tbl>
      <w:tblPr>
        <w:tblW w:w="8926"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1879"/>
        <w:gridCol w:w="2011"/>
        <w:gridCol w:w="1810"/>
        <w:gridCol w:w="1985"/>
      </w:tblGrid>
      <w:tr w:rsidR="00551EA2" w:rsidRPr="001B7A00" w14:paraId="4DD07305" w14:textId="77777777" w:rsidTr="00830D04">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12FDA3DC" w14:textId="77777777" w:rsidR="00551EA2" w:rsidRPr="00830D04" w:rsidRDefault="00551EA2" w:rsidP="00FB4BA4">
            <w:pPr>
              <w:jc w:val="center"/>
              <w:rPr>
                <w:rFonts w:ascii="Arial" w:eastAsia="Arial" w:hAnsi="Arial" w:cs="Arial"/>
                <w:b/>
                <w:spacing w:val="-2"/>
                <w:sz w:val="20"/>
                <w:szCs w:val="20"/>
              </w:rPr>
            </w:pPr>
            <w:r w:rsidRPr="00830D04">
              <w:rPr>
                <w:rFonts w:ascii="Arial" w:eastAsia="Arial" w:hAnsi="Arial" w:cs="Arial"/>
                <w:b/>
                <w:spacing w:val="-2"/>
                <w:sz w:val="20"/>
                <w:szCs w:val="20"/>
              </w:rPr>
              <w:t>Version:</w:t>
            </w:r>
          </w:p>
        </w:tc>
        <w:tc>
          <w:tcPr>
            <w:tcW w:w="1879"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2783E1CD" w14:textId="77777777" w:rsidR="00551EA2" w:rsidRPr="00830D04" w:rsidRDefault="00551EA2" w:rsidP="00FB4BA4">
            <w:pPr>
              <w:jc w:val="center"/>
              <w:rPr>
                <w:rFonts w:ascii="Arial" w:eastAsia="Arial" w:hAnsi="Arial" w:cs="Arial"/>
                <w:b/>
                <w:spacing w:val="-2"/>
                <w:sz w:val="20"/>
                <w:szCs w:val="20"/>
              </w:rPr>
            </w:pPr>
            <w:r w:rsidRPr="00830D04">
              <w:rPr>
                <w:rFonts w:ascii="Arial" w:eastAsia="Arial" w:hAnsi="Arial" w:cs="Arial"/>
                <w:b/>
                <w:spacing w:val="-2"/>
                <w:sz w:val="20"/>
                <w:szCs w:val="20"/>
              </w:rPr>
              <w:t>Review date:</w:t>
            </w:r>
          </w:p>
        </w:tc>
        <w:tc>
          <w:tcPr>
            <w:tcW w:w="2011"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097A35C4" w14:textId="77777777" w:rsidR="00551EA2" w:rsidRPr="00830D04" w:rsidRDefault="00551EA2" w:rsidP="00FB4BA4">
            <w:pPr>
              <w:jc w:val="center"/>
              <w:rPr>
                <w:rFonts w:ascii="Arial" w:eastAsia="Arial" w:hAnsi="Arial" w:cs="Arial"/>
                <w:b/>
                <w:spacing w:val="-2"/>
                <w:sz w:val="20"/>
                <w:szCs w:val="20"/>
              </w:rPr>
            </w:pPr>
            <w:r w:rsidRPr="00830D04">
              <w:rPr>
                <w:rFonts w:ascii="Arial" w:eastAsia="Arial" w:hAnsi="Arial" w:cs="Arial"/>
                <w:b/>
                <w:spacing w:val="-2"/>
                <w:sz w:val="20"/>
                <w:szCs w:val="20"/>
              </w:rPr>
              <w:t>Edited by:</w:t>
            </w:r>
          </w:p>
        </w:tc>
        <w:tc>
          <w:tcPr>
            <w:tcW w:w="1810"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306D4DD6" w14:textId="77777777" w:rsidR="00551EA2" w:rsidRPr="00830D04" w:rsidRDefault="00551EA2" w:rsidP="00FB4BA4">
            <w:pPr>
              <w:jc w:val="center"/>
              <w:rPr>
                <w:rFonts w:ascii="Arial" w:eastAsia="Arial" w:hAnsi="Arial" w:cs="Arial"/>
                <w:b/>
                <w:spacing w:val="-2"/>
                <w:sz w:val="20"/>
                <w:szCs w:val="20"/>
              </w:rPr>
            </w:pPr>
            <w:r w:rsidRPr="00830D04">
              <w:rPr>
                <w:rFonts w:ascii="Arial" w:eastAsia="Arial" w:hAnsi="Arial" w:cs="Arial"/>
                <w:b/>
                <w:spacing w:val="-2"/>
                <w:sz w:val="20"/>
                <w:szCs w:val="20"/>
              </w:rPr>
              <w:t>Approved by:</w:t>
            </w:r>
          </w:p>
        </w:tc>
        <w:tc>
          <w:tcPr>
            <w:tcW w:w="1985"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6C4FD5F8" w14:textId="77777777" w:rsidR="00551EA2" w:rsidRPr="00830D04" w:rsidRDefault="00551EA2" w:rsidP="00FB4BA4">
            <w:pPr>
              <w:jc w:val="center"/>
              <w:rPr>
                <w:rFonts w:ascii="Arial" w:eastAsia="Arial" w:hAnsi="Arial" w:cs="Arial"/>
                <w:b/>
                <w:spacing w:val="-2"/>
                <w:sz w:val="20"/>
                <w:szCs w:val="20"/>
              </w:rPr>
            </w:pPr>
            <w:r w:rsidRPr="00830D04">
              <w:rPr>
                <w:rFonts w:ascii="Arial" w:eastAsia="Arial" w:hAnsi="Arial" w:cs="Arial"/>
                <w:b/>
                <w:spacing w:val="-2"/>
                <w:sz w:val="20"/>
                <w:szCs w:val="20"/>
              </w:rPr>
              <w:t>Comments:</w:t>
            </w:r>
          </w:p>
        </w:tc>
      </w:tr>
      <w:tr w:rsidR="00551EA2" w:rsidRPr="001B7A00" w14:paraId="26FD7388" w14:textId="77777777" w:rsidTr="00830D04">
        <w:trPr>
          <w:jc w:val="center"/>
        </w:trPr>
        <w:tc>
          <w:tcPr>
            <w:tcW w:w="1241" w:type="dxa"/>
            <w:tcBorders>
              <w:top w:val="single" w:sz="4" w:space="0" w:color="333333"/>
              <w:left w:val="single" w:sz="4" w:space="0" w:color="333333"/>
              <w:bottom w:val="single" w:sz="4" w:space="0" w:color="333333"/>
              <w:right w:val="single" w:sz="4" w:space="0" w:color="333333"/>
            </w:tcBorders>
            <w:hideMark/>
          </w:tcPr>
          <w:p w14:paraId="50D95E42" w14:textId="77777777" w:rsidR="00551EA2" w:rsidRPr="00830D04" w:rsidRDefault="00551EA2" w:rsidP="00830D04">
            <w:pPr>
              <w:jc w:val="center"/>
              <w:rPr>
                <w:rFonts w:ascii="Arial" w:eastAsia="Arial" w:hAnsi="Arial" w:cs="Arial"/>
                <w:spacing w:val="-2"/>
                <w:sz w:val="20"/>
                <w:szCs w:val="20"/>
              </w:rPr>
            </w:pPr>
            <w:r w:rsidRPr="00830D04">
              <w:rPr>
                <w:rFonts w:ascii="Arial" w:eastAsia="Arial" w:hAnsi="Arial" w:cs="Arial"/>
                <w:spacing w:val="-2"/>
                <w:sz w:val="20"/>
                <w:szCs w:val="20"/>
              </w:rPr>
              <w:t>1.0</w:t>
            </w:r>
          </w:p>
        </w:tc>
        <w:tc>
          <w:tcPr>
            <w:tcW w:w="1879" w:type="dxa"/>
            <w:tcBorders>
              <w:top w:val="single" w:sz="4" w:space="0" w:color="333333"/>
              <w:left w:val="single" w:sz="4" w:space="0" w:color="333333"/>
              <w:bottom w:val="single" w:sz="4" w:space="0" w:color="333333"/>
              <w:right w:val="single" w:sz="4" w:space="0" w:color="333333"/>
            </w:tcBorders>
          </w:tcPr>
          <w:p w14:paraId="3E01E2D8" w14:textId="77777777" w:rsidR="00551EA2" w:rsidRPr="00830D04" w:rsidRDefault="00551EA2" w:rsidP="00FB4BA4">
            <w:pPr>
              <w:rPr>
                <w:rFonts w:ascii="Arial" w:eastAsia="Arial" w:hAnsi="Arial" w:cs="Arial"/>
                <w:spacing w:val="-2"/>
                <w:sz w:val="20"/>
                <w:szCs w:val="20"/>
              </w:rPr>
            </w:pPr>
            <w:r w:rsidRPr="00830D04">
              <w:rPr>
                <w:rFonts w:ascii="Arial" w:eastAsia="Arial" w:hAnsi="Arial" w:cs="Arial"/>
                <w:spacing w:val="-2"/>
                <w:sz w:val="20"/>
                <w:szCs w:val="20"/>
              </w:rPr>
              <w:t>04/12/2023</w:t>
            </w:r>
          </w:p>
        </w:tc>
        <w:tc>
          <w:tcPr>
            <w:tcW w:w="2011" w:type="dxa"/>
            <w:tcBorders>
              <w:top w:val="single" w:sz="4" w:space="0" w:color="333333"/>
              <w:left w:val="single" w:sz="4" w:space="0" w:color="333333"/>
              <w:bottom w:val="single" w:sz="4" w:space="0" w:color="333333"/>
              <w:right w:val="single" w:sz="4" w:space="0" w:color="333333"/>
            </w:tcBorders>
          </w:tcPr>
          <w:p w14:paraId="69683C47" w14:textId="77777777" w:rsidR="00551EA2" w:rsidRPr="00830D04" w:rsidRDefault="00551EA2" w:rsidP="00FB4BA4">
            <w:pPr>
              <w:rPr>
                <w:rFonts w:ascii="Arial" w:eastAsia="Arial" w:hAnsi="Arial" w:cs="Arial"/>
                <w:spacing w:val="-2"/>
                <w:sz w:val="20"/>
                <w:szCs w:val="20"/>
              </w:rPr>
            </w:pPr>
            <w:r w:rsidRPr="00830D04">
              <w:rPr>
                <w:rFonts w:ascii="Arial" w:eastAsia="Arial" w:hAnsi="Arial" w:cs="Arial"/>
                <w:spacing w:val="-2"/>
                <w:sz w:val="20"/>
                <w:szCs w:val="20"/>
              </w:rPr>
              <w:t>Helen Cheetham</w:t>
            </w:r>
          </w:p>
        </w:tc>
        <w:tc>
          <w:tcPr>
            <w:tcW w:w="1810" w:type="dxa"/>
            <w:tcBorders>
              <w:top w:val="single" w:sz="4" w:space="0" w:color="333333"/>
              <w:left w:val="single" w:sz="4" w:space="0" w:color="333333"/>
              <w:bottom w:val="single" w:sz="4" w:space="0" w:color="333333"/>
              <w:right w:val="single" w:sz="4" w:space="0" w:color="333333"/>
            </w:tcBorders>
          </w:tcPr>
          <w:p w14:paraId="5EDD5864" w14:textId="77777777" w:rsidR="00551EA2" w:rsidRPr="00830D04" w:rsidRDefault="00551EA2" w:rsidP="00FB4BA4">
            <w:pPr>
              <w:rPr>
                <w:rFonts w:ascii="Arial" w:eastAsia="Arial" w:hAnsi="Arial" w:cs="Arial"/>
                <w:spacing w:val="-2"/>
                <w:sz w:val="20"/>
                <w:szCs w:val="20"/>
              </w:rPr>
            </w:pPr>
          </w:p>
        </w:tc>
        <w:tc>
          <w:tcPr>
            <w:tcW w:w="1985" w:type="dxa"/>
            <w:tcBorders>
              <w:top w:val="single" w:sz="4" w:space="0" w:color="333333"/>
              <w:left w:val="single" w:sz="4" w:space="0" w:color="333333"/>
              <w:bottom w:val="single" w:sz="4" w:space="0" w:color="333333"/>
              <w:right w:val="single" w:sz="4" w:space="0" w:color="333333"/>
            </w:tcBorders>
          </w:tcPr>
          <w:p w14:paraId="6C94E40B" w14:textId="77777777" w:rsidR="00551EA2" w:rsidRPr="00830D04" w:rsidRDefault="00551EA2" w:rsidP="00FB4BA4">
            <w:pPr>
              <w:rPr>
                <w:rFonts w:ascii="Arial" w:hAnsi="Arial" w:cs="Arial"/>
                <w:sz w:val="20"/>
                <w:szCs w:val="20"/>
              </w:rPr>
            </w:pPr>
          </w:p>
        </w:tc>
      </w:tr>
      <w:tr w:rsidR="00551EA2" w:rsidRPr="001B7A00" w14:paraId="54F21F4B" w14:textId="77777777" w:rsidTr="00830D04">
        <w:trPr>
          <w:jc w:val="center"/>
        </w:trPr>
        <w:tc>
          <w:tcPr>
            <w:tcW w:w="1241" w:type="dxa"/>
            <w:tcBorders>
              <w:top w:val="single" w:sz="4" w:space="0" w:color="333333"/>
              <w:left w:val="single" w:sz="4" w:space="0" w:color="333333"/>
              <w:bottom w:val="single" w:sz="4" w:space="0" w:color="333333"/>
              <w:right w:val="single" w:sz="4" w:space="0" w:color="333333"/>
            </w:tcBorders>
          </w:tcPr>
          <w:p w14:paraId="6445F3DB" w14:textId="24CD5DA4" w:rsidR="00551EA2" w:rsidRPr="00830D04" w:rsidRDefault="00830D04" w:rsidP="00830D04">
            <w:pPr>
              <w:jc w:val="center"/>
              <w:rPr>
                <w:rFonts w:ascii="Arial" w:hAnsi="Arial" w:cs="Arial"/>
                <w:sz w:val="20"/>
                <w:szCs w:val="20"/>
              </w:rPr>
            </w:pPr>
            <w:r w:rsidRPr="00830D04">
              <w:rPr>
                <w:rFonts w:ascii="Arial" w:hAnsi="Arial" w:cs="Arial"/>
                <w:sz w:val="20"/>
                <w:szCs w:val="20"/>
              </w:rPr>
              <w:t>1.1</w:t>
            </w:r>
          </w:p>
        </w:tc>
        <w:tc>
          <w:tcPr>
            <w:tcW w:w="1879" w:type="dxa"/>
            <w:tcBorders>
              <w:top w:val="single" w:sz="4" w:space="0" w:color="333333"/>
              <w:left w:val="single" w:sz="4" w:space="0" w:color="333333"/>
              <w:bottom w:val="single" w:sz="4" w:space="0" w:color="333333"/>
              <w:right w:val="single" w:sz="4" w:space="0" w:color="333333"/>
            </w:tcBorders>
          </w:tcPr>
          <w:p w14:paraId="6AA91563" w14:textId="7CAE71D8" w:rsidR="00551EA2" w:rsidRPr="00830D04" w:rsidRDefault="00830D04" w:rsidP="00FB4BA4">
            <w:pPr>
              <w:rPr>
                <w:rFonts w:ascii="Arial" w:hAnsi="Arial" w:cs="Arial"/>
                <w:sz w:val="20"/>
                <w:szCs w:val="20"/>
              </w:rPr>
            </w:pPr>
            <w:r w:rsidRPr="00830D04">
              <w:rPr>
                <w:rFonts w:ascii="Arial" w:hAnsi="Arial" w:cs="Arial"/>
                <w:sz w:val="20"/>
                <w:szCs w:val="20"/>
              </w:rPr>
              <w:t>23/06/2025</w:t>
            </w:r>
          </w:p>
        </w:tc>
        <w:tc>
          <w:tcPr>
            <w:tcW w:w="2011" w:type="dxa"/>
            <w:tcBorders>
              <w:top w:val="single" w:sz="4" w:space="0" w:color="333333"/>
              <w:left w:val="single" w:sz="4" w:space="0" w:color="333333"/>
              <w:bottom w:val="single" w:sz="4" w:space="0" w:color="333333"/>
              <w:right w:val="single" w:sz="4" w:space="0" w:color="333333"/>
            </w:tcBorders>
          </w:tcPr>
          <w:p w14:paraId="73A66854" w14:textId="5948A352" w:rsidR="00551EA2" w:rsidRPr="00830D04" w:rsidRDefault="00830D04" w:rsidP="00FB4BA4">
            <w:pPr>
              <w:rPr>
                <w:rFonts w:ascii="Arial" w:hAnsi="Arial" w:cs="Arial"/>
                <w:sz w:val="20"/>
                <w:szCs w:val="20"/>
              </w:rPr>
            </w:pPr>
            <w:r w:rsidRPr="00830D04">
              <w:rPr>
                <w:rFonts w:ascii="Arial" w:hAnsi="Arial" w:cs="Arial"/>
                <w:sz w:val="20"/>
                <w:szCs w:val="20"/>
              </w:rPr>
              <w:t>Helen Cheetham</w:t>
            </w:r>
          </w:p>
        </w:tc>
        <w:tc>
          <w:tcPr>
            <w:tcW w:w="1810" w:type="dxa"/>
            <w:tcBorders>
              <w:top w:val="single" w:sz="4" w:space="0" w:color="333333"/>
              <w:left w:val="single" w:sz="4" w:space="0" w:color="333333"/>
              <w:bottom w:val="single" w:sz="4" w:space="0" w:color="333333"/>
              <w:right w:val="single" w:sz="4" w:space="0" w:color="333333"/>
            </w:tcBorders>
          </w:tcPr>
          <w:p w14:paraId="51FD57E6" w14:textId="77777777" w:rsidR="00551EA2" w:rsidRPr="00830D04" w:rsidRDefault="00551EA2" w:rsidP="00FB4BA4">
            <w:pPr>
              <w:rPr>
                <w:rFonts w:ascii="Arial" w:hAnsi="Arial" w:cs="Arial"/>
                <w:sz w:val="20"/>
                <w:szCs w:val="20"/>
              </w:rPr>
            </w:pPr>
          </w:p>
        </w:tc>
        <w:tc>
          <w:tcPr>
            <w:tcW w:w="1985" w:type="dxa"/>
            <w:tcBorders>
              <w:top w:val="single" w:sz="4" w:space="0" w:color="333333"/>
              <w:left w:val="single" w:sz="4" w:space="0" w:color="333333"/>
              <w:bottom w:val="single" w:sz="4" w:space="0" w:color="333333"/>
              <w:right w:val="single" w:sz="4" w:space="0" w:color="333333"/>
            </w:tcBorders>
          </w:tcPr>
          <w:p w14:paraId="7F21F648" w14:textId="4BFF0038" w:rsidR="00551EA2" w:rsidRPr="00830D04" w:rsidRDefault="00830D04" w:rsidP="00FB4BA4">
            <w:pPr>
              <w:rPr>
                <w:rFonts w:ascii="Arial" w:hAnsi="Arial" w:cs="Arial"/>
                <w:sz w:val="20"/>
                <w:szCs w:val="20"/>
              </w:rPr>
            </w:pPr>
            <w:r w:rsidRPr="00830D04">
              <w:rPr>
                <w:rFonts w:ascii="Arial" w:hAnsi="Arial" w:cs="Arial"/>
                <w:sz w:val="20"/>
                <w:szCs w:val="20"/>
              </w:rPr>
              <w:t>Updated Format &amp; added AI in GP</w:t>
            </w:r>
          </w:p>
        </w:tc>
      </w:tr>
      <w:tr w:rsidR="00551EA2" w:rsidRPr="001B7A00" w14:paraId="640D6C5A" w14:textId="77777777" w:rsidTr="00830D04">
        <w:trPr>
          <w:jc w:val="center"/>
        </w:trPr>
        <w:tc>
          <w:tcPr>
            <w:tcW w:w="1241" w:type="dxa"/>
            <w:tcBorders>
              <w:top w:val="single" w:sz="4" w:space="0" w:color="333333"/>
              <w:left w:val="single" w:sz="4" w:space="0" w:color="333333"/>
              <w:bottom w:val="single" w:sz="4" w:space="0" w:color="333333"/>
              <w:right w:val="single" w:sz="4" w:space="0" w:color="333333"/>
            </w:tcBorders>
          </w:tcPr>
          <w:p w14:paraId="67A752E4" w14:textId="38D61574" w:rsidR="00551EA2" w:rsidRPr="00551EA2" w:rsidRDefault="003104D7" w:rsidP="003104D7">
            <w:pPr>
              <w:jc w:val="center"/>
              <w:rPr>
                <w:rFonts w:ascii="Arial" w:hAnsi="Arial" w:cs="Arial"/>
                <w:sz w:val="22"/>
                <w:szCs w:val="22"/>
              </w:rPr>
            </w:pPr>
            <w:r>
              <w:rPr>
                <w:rFonts w:ascii="Arial" w:hAnsi="Arial" w:cs="Arial"/>
                <w:sz w:val="22"/>
                <w:szCs w:val="22"/>
              </w:rPr>
              <w:t>1.2</w:t>
            </w:r>
          </w:p>
        </w:tc>
        <w:tc>
          <w:tcPr>
            <w:tcW w:w="1879" w:type="dxa"/>
            <w:tcBorders>
              <w:top w:val="single" w:sz="4" w:space="0" w:color="333333"/>
              <w:left w:val="single" w:sz="4" w:space="0" w:color="333333"/>
              <w:bottom w:val="single" w:sz="4" w:space="0" w:color="333333"/>
              <w:right w:val="single" w:sz="4" w:space="0" w:color="333333"/>
            </w:tcBorders>
          </w:tcPr>
          <w:p w14:paraId="1923DC15" w14:textId="5350759A" w:rsidR="00551EA2" w:rsidRPr="00551EA2" w:rsidRDefault="003104D7" w:rsidP="00FB4BA4">
            <w:pPr>
              <w:rPr>
                <w:rFonts w:ascii="Arial" w:hAnsi="Arial" w:cs="Arial"/>
                <w:sz w:val="22"/>
                <w:szCs w:val="22"/>
              </w:rPr>
            </w:pPr>
            <w:r>
              <w:rPr>
                <w:rFonts w:ascii="Arial" w:hAnsi="Arial" w:cs="Arial"/>
                <w:sz w:val="22"/>
                <w:szCs w:val="22"/>
              </w:rPr>
              <w:t>29/12/2025</w:t>
            </w:r>
          </w:p>
        </w:tc>
        <w:tc>
          <w:tcPr>
            <w:tcW w:w="2011" w:type="dxa"/>
            <w:tcBorders>
              <w:top w:val="single" w:sz="4" w:space="0" w:color="333333"/>
              <w:left w:val="single" w:sz="4" w:space="0" w:color="333333"/>
              <w:bottom w:val="single" w:sz="4" w:space="0" w:color="333333"/>
              <w:right w:val="single" w:sz="4" w:space="0" w:color="333333"/>
            </w:tcBorders>
          </w:tcPr>
          <w:p w14:paraId="0FBED0A6" w14:textId="58FDFD66" w:rsidR="00551EA2" w:rsidRPr="00551EA2" w:rsidRDefault="003104D7" w:rsidP="00FB4BA4">
            <w:pPr>
              <w:rPr>
                <w:rFonts w:ascii="Arial" w:hAnsi="Arial" w:cs="Arial"/>
                <w:sz w:val="22"/>
                <w:szCs w:val="22"/>
              </w:rPr>
            </w:pPr>
            <w:r>
              <w:rPr>
                <w:rFonts w:ascii="Arial" w:hAnsi="Arial" w:cs="Arial"/>
                <w:sz w:val="22"/>
                <w:szCs w:val="22"/>
              </w:rPr>
              <w:t>Helen Cheetham</w:t>
            </w:r>
          </w:p>
        </w:tc>
        <w:tc>
          <w:tcPr>
            <w:tcW w:w="1810" w:type="dxa"/>
            <w:tcBorders>
              <w:top w:val="single" w:sz="4" w:space="0" w:color="333333"/>
              <w:left w:val="single" w:sz="4" w:space="0" w:color="333333"/>
              <w:bottom w:val="single" w:sz="4" w:space="0" w:color="333333"/>
              <w:right w:val="single" w:sz="4" w:space="0" w:color="333333"/>
            </w:tcBorders>
          </w:tcPr>
          <w:p w14:paraId="26571A91" w14:textId="3669463B" w:rsidR="00551EA2" w:rsidRPr="00551EA2" w:rsidRDefault="003104D7" w:rsidP="00FB4BA4">
            <w:pPr>
              <w:rPr>
                <w:rFonts w:ascii="Arial" w:hAnsi="Arial" w:cs="Arial"/>
                <w:sz w:val="22"/>
                <w:szCs w:val="22"/>
              </w:rPr>
            </w:pPr>
            <w:r>
              <w:rPr>
                <w:rFonts w:ascii="Arial" w:hAnsi="Arial" w:cs="Arial"/>
                <w:sz w:val="22"/>
                <w:szCs w:val="22"/>
              </w:rPr>
              <w:t>PCN Management (Practice Managers)</w:t>
            </w:r>
          </w:p>
        </w:tc>
        <w:tc>
          <w:tcPr>
            <w:tcW w:w="1985" w:type="dxa"/>
            <w:tcBorders>
              <w:top w:val="single" w:sz="4" w:space="0" w:color="333333"/>
              <w:left w:val="single" w:sz="4" w:space="0" w:color="333333"/>
              <w:bottom w:val="single" w:sz="4" w:space="0" w:color="333333"/>
              <w:right w:val="single" w:sz="4" w:space="0" w:color="333333"/>
            </w:tcBorders>
          </w:tcPr>
          <w:p w14:paraId="76A2F13B" w14:textId="13D9698A" w:rsidR="00551EA2" w:rsidRPr="00551EA2" w:rsidRDefault="003104D7" w:rsidP="00FB4BA4">
            <w:pPr>
              <w:rPr>
                <w:rFonts w:ascii="Arial" w:hAnsi="Arial" w:cs="Arial"/>
                <w:sz w:val="22"/>
                <w:szCs w:val="22"/>
              </w:rPr>
            </w:pPr>
            <w:r>
              <w:rPr>
                <w:rFonts w:ascii="Arial" w:hAnsi="Arial" w:cs="Arial"/>
                <w:sz w:val="22"/>
                <w:szCs w:val="22"/>
              </w:rPr>
              <w:t>Included Nimbuscare</w:t>
            </w:r>
          </w:p>
        </w:tc>
      </w:tr>
      <w:tr w:rsidR="00551EA2" w:rsidRPr="001B7A00" w14:paraId="1C53C24B" w14:textId="77777777" w:rsidTr="00830D04">
        <w:trPr>
          <w:jc w:val="center"/>
        </w:trPr>
        <w:tc>
          <w:tcPr>
            <w:tcW w:w="1241" w:type="dxa"/>
            <w:tcBorders>
              <w:top w:val="single" w:sz="4" w:space="0" w:color="333333"/>
              <w:left w:val="single" w:sz="4" w:space="0" w:color="333333"/>
              <w:bottom w:val="single" w:sz="4" w:space="0" w:color="333333"/>
              <w:right w:val="single" w:sz="4" w:space="0" w:color="333333"/>
            </w:tcBorders>
          </w:tcPr>
          <w:p w14:paraId="7202A5B7" w14:textId="77777777" w:rsidR="00551EA2" w:rsidRPr="00551EA2" w:rsidRDefault="00551EA2" w:rsidP="00FB4BA4">
            <w:pPr>
              <w:rPr>
                <w:rFonts w:ascii="Arial" w:hAnsi="Arial" w:cs="Arial"/>
                <w:sz w:val="22"/>
                <w:szCs w:val="22"/>
              </w:rPr>
            </w:pPr>
          </w:p>
        </w:tc>
        <w:tc>
          <w:tcPr>
            <w:tcW w:w="1879" w:type="dxa"/>
            <w:tcBorders>
              <w:top w:val="single" w:sz="4" w:space="0" w:color="333333"/>
              <w:left w:val="single" w:sz="4" w:space="0" w:color="333333"/>
              <w:bottom w:val="single" w:sz="4" w:space="0" w:color="333333"/>
              <w:right w:val="single" w:sz="4" w:space="0" w:color="333333"/>
            </w:tcBorders>
          </w:tcPr>
          <w:p w14:paraId="6A9C4255" w14:textId="77777777" w:rsidR="00551EA2" w:rsidRPr="00551EA2" w:rsidRDefault="00551EA2" w:rsidP="00FB4BA4">
            <w:pPr>
              <w:rPr>
                <w:rFonts w:ascii="Arial" w:hAnsi="Arial" w:cs="Arial"/>
                <w:sz w:val="22"/>
                <w:szCs w:val="22"/>
              </w:rPr>
            </w:pPr>
          </w:p>
        </w:tc>
        <w:tc>
          <w:tcPr>
            <w:tcW w:w="2011" w:type="dxa"/>
            <w:tcBorders>
              <w:top w:val="single" w:sz="4" w:space="0" w:color="333333"/>
              <w:left w:val="single" w:sz="4" w:space="0" w:color="333333"/>
              <w:bottom w:val="single" w:sz="4" w:space="0" w:color="333333"/>
              <w:right w:val="single" w:sz="4" w:space="0" w:color="333333"/>
            </w:tcBorders>
          </w:tcPr>
          <w:p w14:paraId="07A9A39B" w14:textId="77777777" w:rsidR="00551EA2" w:rsidRPr="00551EA2" w:rsidRDefault="00551EA2" w:rsidP="00FB4BA4">
            <w:pPr>
              <w:rPr>
                <w:rFonts w:ascii="Arial" w:hAnsi="Arial" w:cs="Arial"/>
                <w:sz w:val="22"/>
                <w:szCs w:val="22"/>
              </w:rPr>
            </w:pPr>
          </w:p>
        </w:tc>
        <w:tc>
          <w:tcPr>
            <w:tcW w:w="1810" w:type="dxa"/>
            <w:tcBorders>
              <w:top w:val="single" w:sz="4" w:space="0" w:color="333333"/>
              <w:left w:val="single" w:sz="4" w:space="0" w:color="333333"/>
              <w:bottom w:val="single" w:sz="4" w:space="0" w:color="333333"/>
              <w:right w:val="single" w:sz="4" w:space="0" w:color="333333"/>
            </w:tcBorders>
          </w:tcPr>
          <w:p w14:paraId="11F613EE" w14:textId="77777777" w:rsidR="00551EA2" w:rsidRPr="00551EA2" w:rsidRDefault="00551EA2" w:rsidP="00FB4BA4">
            <w:pPr>
              <w:jc w:val="center"/>
              <w:rPr>
                <w:rFonts w:ascii="Arial" w:hAnsi="Arial" w:cs="Arial"/>
                <w:sz w:val="22"/>
                <w:szCs w:val="22"/>
              </w:rPr>
            </w:pPr>
          </w:p>
        </w:tc>
        <w:tc>
          <w:tcPr>
            <w:tcW w:w="1985" w:type="dxa"/>
            <w:tcBorders>
              <w:top w:val="single" w:sz="4" w:space="0" w:color="333333"/>
              <w:left w:val="single" w:sz="4" w:space="0" w:color="333333"/>
              <w:bottom w:val="single" w:sz="4" w:space="0" w:color="333333"/>
              <w:right w:val="single" w:sz="4" w:space="0" w:color="333333"/>
            </w:tcBorders>
          </w:tcPr>
          <w:p w14:paraId="286741CB" w14:textId="77777777" w:rsidR="00551EA2" w:rsidRPr="00551EA2" w:rsidRDefault="00551EA2" w:rsidP="00FB4BA4">
            <w:pPr>
              <w:rPr>
                <w:rFonts w:ascii="Arial" w:hAnsi="Arial" w:cs="Arial"/>
                <w:sz w:val="22"/>
                <w:szCs w:val="22"/>
              </w:rPr>
            </w:pPr>
          </w:p>
        </w:tc>
      </w:tr>
    </w:tbl>
    <w:p w14:paraId="5E8A8A35" w14:textId="77777777" w:rsidR="00551EA2" w:rsidRPr="00343737" w:rsidRDefault="00551EA2" w:rsidP="00343737">
      <w:pPr>
        <w:rPr>
          <w:rFonts w:ascii="Arial" w:hAnsi="Arial" w:cs="Arial"/>
        </w:rPr>
      </w:pPr>
    </w:p>
    <w:sectPr w:rsidR="00551EA2" w:rsidRPr="00343737">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BFA5" w14:textId="77777777" w:rsidR="00551EA2" w:rsidRDefault="00551EA2" w:rsidP="00551EA2">
      <w:pPr>
        <w:spacing w:after="0" w:line="240" w:lineRule="auto"/>
      </w:pPr>
      <w:r>
        <w:separator/>
      </w:r>
    </w:p>
  </w:endnote>
  <w:endnote w:type="continuationSeparator" w:id="0">
    <w:p w14:paraId="5B67D333" w14:textId="77777777" w:rsidR="00551EA2" w:rsidRDefault="00551EA2" w:rsidP="0055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2F50" w14:textId="123620C5" w:rsidR="00551EA2" w:rsidRDefault="00551EA2">
    <w:pPr>
      <w:pStyle w:val="Footer"/>
    </w:pPr>
    <w:r>
      <w:t>Published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2EFA" w14:textId="77777777" w:rsidR="00551EA2" w:rsidRDefault="00551EA2" w:rsidP="00551EA2">
      <w:pPr>
        <w:spacing w:after="0" w:line="240" w:lineRule="auto"/>
      </w:pPr>
      <w:r>
        <w:separator/>
      </w:r>
    </w:p>
  </w:footnote>
  <w:footnote w:type="continuationSeparator" w:id="0">
    <w:p w14:paraId="460014A0" w14:textId="77777777" w:rsidR="00551EA2" w:rsidRDefault="00551EA2" w:rsidP="0055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6A96" w14:textId="12DC849D" w:rsidR="00551EA2" w:rsidRDefault="00551EA2">
    <w:pPr>
      <w:pStyle w:val="Header"/>
    </w:pPr>
    <w:r>
      <w:rPr>
        <w:noProof/>
      </w:rPr>
      <mc:AlternateContent>
        <mc:Choice Requires="wps">
          <w:drawing>
            <wp:anchor distT="45720" distB="45720" distL="114300" distR="114300" simplePos="0" relativeHeight="251659264" behindDoc="0" locked="0" layoutInCell="1" allowOverlap="1" wp14:anchorId="30D8363B" wp14:editId="70F9A31C">
              <wp:simplePos x="0" y="0"/>
              <wp:positionH relativeFrom="column">
                <wp:posOffset>3927475</wp:posOffset>
              </wp:positionH>
              <wp:positionV relativeFrom="paragraph">
                <wp:posOffset>-211455</wp:posOffset>
              </wp:positionV>
              <wp:extent cx="2360930" cy="6597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59765"/>
                      </a:xfrm>
                      <a:prstGeom prst="rect">
                        <a:avLst/>
                      </a:prstGeom>
                      <a:solidFill>
                        <a:srgbClr val="FFFFFF"/>
                      </a:solidFill>
                      <a:ln w="9525">
                        <a:noFill/>
                        <a:miter lim="800000"/>
                        <a:headEnd/>
                        <a:tailEnd/>
                      </a:ln>
                    </wps:spPr>
                    <wps:txbx>
                      <w:txbxContent>
                        <w:p w14:paraId="6F680815" w14:textId="66F23E4B" w:rsidR="00551EA2" w:rsidRDefault="00551EA2">
                          <w:r>
                            <w:rPr>
                              <w:noProof/>
                            </w:rPr>
                            <w:drawing>
                              <wp:inline distT="0" distB="0" distL="0" distR="0" wp14:anchorId="320DCE6D" wp14:editId="764CA061">
                                <wp:extent cx="1643380" cy="559435"/>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5594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0D8363B" id="_x0000_t202" coordsize="21600,21600" o:spt="202" path="m,l,21600r21600,l21600,xe">
              <v:stroke joinstyle="miter"/>
              <v:path gradientshapeok="t" o:connecttype="rect"/>
            </v:shapetype>
            <v:shape id="Text Box 2" o:spid="_x0000_s1026" type="#_x0000_t202" style="position:absolute;margin-left:309.25pt;margin-top:-16.65pt;width:185.9pt;height:51.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" stroked="f">
              <v:textbox>
                <w:txbxContent>
                  <w:p w14:paraId="6F680815" w14:textId="66F23E4B" w:rsidR="00551EA2" w:rsidRDefault="00551EA2">
                    <w:r>
                      <w:rPr>
                        <w:noProof/>
                      </w:rPr>
                      <w:drawing>
                        <wp:inline distT="0" distB="0" distL="0" distR="0" wp14:anchorId="320DCE6D" wp14:editId="764CA061">
                          <wp:extent cx="1643380" cy="559435"/>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3380" cy="559435"/>
                                  </a:xfrm>
                                  <a:prstGeom prst="rect">
                                    <a:avLst/>
                                  </a:prstGeom>
                                  <a:noFill/>
                                  <a:ln>
                                    <a:noFill/>
                                  </a:ln>
                                </pic:spPr>
                              </pic:pic>
                            </a:graphicData>
                          </a:graphic>
                        </wp:inline>
                      </w:drawing>
                    </w:r>
                  </w:p>
                </w:txbxContent>
              </v:textbox>
              <w10:wrap type="squar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C5669"/>
    <w:multiLevelType w:val="multilevel"/>
    <w:tmpl w:val="8614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4918EF"/>
    <w:multiLevelType w:val="multilevel"/>
    <w:tmpl w:val="705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5314D3"/>
    <w:multiLevelType w:val="multilevel"/>
    <w:tmpl w:val="261E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E93075"/>
    <w:multiLevelType w:val="multilevel"/>
    <w:tmpl w:val="74EC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205630"/>
    <w:multiLevelType w:val="multilevel"/>
    <w:tmpl w:val="92B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224359">
    <w:abstractNumId w:val="3"/>
  </w:num>
  <w:num w:numId="2" w16cid:durableId="1643387132">
    <w:abstractNumId w:val="4"/>
  </w:num>
  <w:num w:numId="3" w16cid:durableId="1453085671">
    <w:abstractNumId w:val="0"/>
  </w:num>
  <w:num w:numId="4" w16cid:durableId="1546680876">
    <w:abstractNumId w:val="2"/>
  </w:num>
  <w:num w:numId="5" w16cid:durableId="2014605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C3"/>
    <w:rsid w:val="002F18FD"/>
    <w:rsid w:val="003104D7"/>
    <w:rsid w:val="00343737"/>
    <w:rsid w:val="00551EA2"/>
    <w:rsid w:val="005912A6"/>
    <w:rsid w:val="00643DA7"/>
    <w:rsid w:val="00830D04"/>
    <w:rsid w:val="009D086E"/>
    <w:rsid w:val="00C415D2"/>
    <w:rsid w:val="00CC3292"/>
    <w:rsid w:val="00E14C02"/>
    <w:rsid w:val="00EE1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C96FC"/>
  <w15:chartTrackingRefBased/>
  <w15:docId w15:val="{6EE0E929-AD4B-4E21-8C8B-DFE24E78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1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1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1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1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C3"/>
    <w:rPr>
      <w:rFonts w:eastAsiaTheme="majorEastAsia" w:cstheme="majorBidi"/>
      <w:color w:val="272727" w:themeColor="text1" w:themeTint="D8"/>
    </w:rPr>
  </w:style>
  <w:style w:type="paragraph" w:styleId="Title">
    <w:name w:val="Title"/>
    <w:basedOn w:val="Normal"/>
    <w:next w:val="Normal"/>
    <w:link w:val="TitleChar"/>
    <w:uiPriority w:val="10"/>
    <w:qFormat/>
    <w:rsid w:val="00EE1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C3"/>
    <w:pPr>
      <w:spacing w:before="160"/>
      <w:jc w:val="center"/>
    </w:pPr>
    <w:rPr>
      <w:i/>
      <w:iCs/>
      <w:color w:val="404040" w:themeColor="text1" w:themeTint="BF"/>
    </w:rPr>
  </w:style>
  <w:style w:type="character" w:customStyle="1" w:styleId="QuoteChar">
    <w:name w:val="Quote Char"/>
    <w:basedOn w:val="DefaultParagraphFont"/>
    <w:link w:val="Quote"/>
    <w:uiPriority w:val="29"/>
    <w:rsid w:val="00EE15C3"/>
    <w:rPr>
      <w:i/>
      <w:iCs/>
      <w:color w:val="404040" w:themeColor="text1" w:themeTint="BF"/>
    </w:rPr>
  </w:style>
  <w:style w:type="paragraph" w:styleId="ListParagraph">
    <w:name w:val="List Paragraph"/>
    <w:basedOn w:val="Normal"/>
    <w:uiPriority w:val="34"/>
    <w:qFormat/>
    <w:rsid w:val="00EE15C3"/>
    <w:pPr>
      <w:ind w:left="720"/>
      <w:contextualSpacing/>
    </w:pPr>
  </w:style>
  <w:style w:type="character" w:styleId="IntenseEmphasis">
    <w:name w:val="Intense Emphasis"/>
    <w:basedOn w:val="DefaultParagraphFont"/>
    <w:uiPriority w:val="21"/>
    <w:qFormat/>
    <w:rsid w:val="00EE15C3"/>
    <w:rPr>
      <w:i/>
      <w:iCs/>
      <w:color w:val="0F4761" w:themeColor="accent1" w:themeShade="BF"/>
    </w:rPr>
  </w:style>
  <w:style w:type="paragraph" w:styleId="IntenseQuote">
    <w:name w:val="Intense Quote"/>
    <w:basedOn w:val="Normal"/>
    <w:next w:val="Normal"/>
    <w:link w:val="IntenseQuoteChar"/>
    <w:uiPriority w:val="30"/>
    <w:qFormat/>
    <w:rsid w:val="00EE1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C3"/>
    <w:rPr>
      <w:i/>
      <w:iCs/>
      <w:color w:val="0F4761" w:themeColor="accent1" w:themeShade="BF"/>
    </w:rPr>
  </w:style>
  <w:style w:type="character" w:styleId="IntenseReference">
    <w:name w:val="Intense Reference"/>
    <w:basedOn w:val="DefaultParagraphFont"/>
    <w:uiPriority w:val="32"/>
    <w:qFormat/>
    <w:rsid w:val="00EE15C3"/>
    <w:rPr>
      <w:b/>
      <w:bCs/>
      <w:smallCaps/>
      <w:color w:val="0F4761" w:themeColor="accent1" w:themeShade="BF"/>
      <w:spacing w:val="5"/>
    </w:rPr>
  </w:style>
  <w:style w:type="paragraph" w:styleId="TOCHeading">
    <w:name w:val="TOC Heading"/>
    <w:basedOn w:val="Heading1"/>
    <w:next w:val="Normal"/>
    <w:uiPriority w:val="39"/>
    <w:unhideWhenUsed/>
    <w:qFormat/>
    <w:rsid w:val="00EE15C3"/>
    <w:pPr>
      <w:spacing w:before="240" w:after="0" w:line="259" w:lineRule="auto"/>
      <w:outlineLvl w:val="9"/>
    </w:pPr>
    <w:rPr>
      <w:kern w:val="0"/>
      <w:sz w:val="32"/>
      <w:szCs w:val="32"/>
      <w:lang w:val="en-US"/>
      <w14:ligatures w14:val="none"/>
    </w:rPr>
  </w:style>
  <w:style w:type="character" w:styleId="Hyperlink">
    <w:name w:val="Hyperlink"/>
    <w:basedOn w:val="DefaultParagraphFont"/>
    <w:uiPriority w:val="99"/>
    <w:unhideWhenUsed/>
    <w:rsid w:val="00EE15C3"/>
    <w:rPr>
      <w:color w:val="467886" w:themeColor="hyperlink"/>
      <w:u w:val="single"/>
    </w:rPr>
  </w:style>
  <w:style w:type="character" w:styleId="UnresolvedMention">
    <w:name w:val="Unresolved Mention"/>
    <w:basedOn w:val="DefaultParagraphFont"/>
    <w:uiPriority w:val="99"/>
    <w:semiHidden/>
    <w:unhideWhenUsed/>
    <w:rsid w:val="00EE15C3"/>
    <w:rPr>
      <w:color w:val="605E5C"/>
      <w:shd w:val="clear" w:color="auto" w:fill="E1DFDD"/>
    </w:rPr>
  </w:style>
  <w:style w:type="paragraph" w:styleId="NormalWeb">
    <w:name w:val="Normal (Web)"/>
    <w:basedOn w:val="Normal"/>
    <w:uiPriority w:val="99"/>
    <w:semiHidden/>
    <w:unhideWhenUsed/>
    <w:rsid w:val="00EE15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C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EA2"/>
  </w:style>
  <w:style w:type="paragraph" w:styleId="Footer">
    <w:name w:val="footer"/>
    <w:basedOn w:val="Normal"/>
    <w:link w:val="FooterChar"/>
    <w:uiPriority w:val="99"/>
    <w:unhideWhenUsed/>
    <w:rsid w:val="00551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636">
      <w:bodyDiv w:val="1"/>
      <w:marLeft w:val="0"/>
      <w:marRight w:val="0"/>
      <w:marTop w:val="0"/>
      <w:marBottom w:val="0"/>
      <w:divBdr>
        <w:top w:val="none" w:sz="0" w:space="0" w:color="auto"/>
        <w:left w:val="none" w:sz="0" w:space="0" w:color="auto"/>
        <w:bottom w:val="none" w:sz="0" w:space="0" w:color="auto"/>
        <w:right w:val="none" w:sz="0" w:space="0" w:color="auto"/>
      </w:divBdr>
    </w:div>
    <w:div w:id="188952727">
      <w:bodyDiv w:val="1"/>
      <w:marLeft w:val="0"/>
      <w:marRight w:val="0"/>
      <w:marTop w:val="0"/>
      <w:marBottom w:val="0"/>
      <w:divBdr>
        <w:top w:val="none" w:sz="0" w:space="0" w:color="auto"/>
        <w:left w:val="none" w:sz="0" w:space="0" w:color="auto"/>
        <w:bottom w:val="none" w:sz="0" w:space="0" w:color="auto"/>
        <w:right w:val="none" w:sz="0" w:space="0" w:color="auto"/>
      </w:divBdr>
    </w:div>
    <w:div w:id="439032962">
      <w:bodyDiv w:val="1"/>
      <w:marLeft w:val="0"/>
      <w:marRight w:val="0"/>
      <w:marTop w:val="0"/>
      <w:marBottom w:val="0"/>
      <w:divBdr>
        <w:top w:val="none" w:sz="0" w:space="0" w:color="auto"/>
        <w:left w:val="none" w:sz="0" w:space="0" w:color="auto"/>
        <w:bottom w:val="none" w:sz="0" w:space="0" w:color="auto"/>
        <w:right w:val="none" w:sz="0" w:space="0" w:color="auto"/>
      </w:divBdr>
    </w:div>
    <w:div w:id="560874181">
      <w:bodyDiv w:val="1"/>
      <w:marLeft w:val="0"/>
      <w:marRight w:val="0"/>
      <w:marTop w:val="0"/>
      <w:marBottom w:val="0"/>
      <w:divBdr>
        <w:top w:val="none" w:sz="0" w:space="0" w:color="auto"/>
        <w:left w:val="none" w:sz="0" w:space="0" w:color="auto"/>
        <w:bottom w:val="none" w:sz="0" w:space="0" w:color="auto"/>
        <w:right w:val="none" w:sz="0" w:space="0" w:color="auto"/>
      </w:divBdr>
    </w:div>
    <w:div w:id="719283645">
      <w:bodyDiv w:val="1"/>
      <w:marLeft w:val="0"/>
      <w:marRight w:val="0"/>
      <w:marTop w:val="0"/>
      <w:marBottom w:val="0"/>
      <w:divBdr>
        <w:top w:val="none" w:sz="0" w:space="0" w:color="auto"/>
        <w:left w:val="none" w:sz="0" w:space="0" w:color="auto"/>
        <w:bottom w:val="none" w:sz="0" w:space="0" w:color="auto"/>
        <w:right w:val="none" w:sz="0" w:space="0" w:color="auto"/>
      </w:divBdr>
    </w:div>
    <w:div w:id="751515062">
      <w:bodyDiv w:val="1"/>
      <w:marLeft w:val="0"/>
      <w:marRight w:val="0"/>
      <w:marTop w:val="0"/>
      <w:marBottom w:val="0"/>
      <w:divBdr>
        <w:top w:val="none" w:sz="0" w:space="0" w:color="auto"/>
        <w:left w:val="none" w:sz="0" w:space="0" w:color="auto"/>
        <w:bottom w:val="none" w:sz="0" w:space="0" w:color="auto"/>
        <w:right w:val="none" w:sz="0" w:space="0" w:color="auto"/>
      </w:divBdr>
    </w:div>
    <w:div w:id="795370561">
      <w:bodyDiv w:val="1"/>
      <w:marLeft w:val="0"/>
      <w:marRight w:val="0"/>
      <w:marTop w:val="0"/>
      <w:marBottom w:val="0"/>
      <w:divBdr>
        <w:top w:val="none" w:sz="0" w:space="0" w:color="auto"/>
        <w:left w:val="none" w:sz="0" w:space="0" w:color="auto"/>
        <w:bottom w:val="none" w:sz="0" w:space="0" w:color="auto"/>
        <w:right w:val="none" w:sz="0" w:space="0" w:color="auto"/>
      </w:divBdr>
    </w:div>
    <w:div w:id="802505595">
      <w:bodyDiv w:val="1"/>
      <w:marLeft w:val="0"/>
      <w:marRight w:val="0"/>
      <w:marTop w:val="0"/>
      <w:marBottom w:val="0"/>
      <w:divBdr>
        <w:top w:val="none" w:sz="0" w:space="0" w:color="auto"/>
        <w:left w:val="none" w:sz="0" w:space="0" w:color="auto"/>
        <w:bottom w:val="none" w:sz="0" w:space="0" w:color="auto"/>
        <w:right w:val="none" w:sz="0" w:space="0" w:color="auto"/>
      </w:divBdr>
    </w:div>
    <w:div w:id="808015481">
      <w:bodyDiv w:val="1"/>
      <w:marLeft w:val="0"/>
      <w:marRight w:val="0"/>
      <w:marTop w:val="0"/>
      <w:marBottom w:val="0"/>
      <w:divBdr>
        <w:top w:val="none" w:sz="0" w:space="0" w:color="auto"/>
        <w:left w:val="none" w:sz="0" w:space="0" w:color="auto"/>
        <w:bottom w:val="none" w:sz="0" w:space="0" w:color="auto"/>
        <w:right w:val="none" w:sz="0" w:space="0" w:color="auto"/>
      </w:divBdr>
    </w:div>
    <w:div w:id="871301827">
      <w:bodyDiv w:val="1"/>
      <w:marLeft w:val="0"/>
      <w:marRight w:val="0"/>
      <w:marTop w:val="0"/>
      <w:marBottom w:val="0"/>
      <w:divBdr>
        <w:top w:val="none" w:sz="0" w:space="0" w:color="auto"/>
        <w:left w:val="none" w:sz="0" w:space="0" w:color="auto"/>
        <w:bottom w:val="none" w:sz="0" w:space="0" w:color="auto"/>
        <w:right w:val="none" w:sz="0" w:space="0" w:color="auto"/>
      </w:divBdr>
    </w:div>
    <w:div w:id="939290367">
      <w:bodyDiv w:val="1"/>
      <w:marLeft w:val="0"/>
      <w:marRight w:val="0"/>
      <w:marTop w:val="0"/>
      <w:marBottom w:val="0"/>
      <w:divBdr>
        <w:top w:val="none" w:sz="0" w:space="0" w:color="auto"/>
        <w:left w:val="none" w:sz="0" w:space="0" w:color="auto"/>
        <w:bottom w:val="none" w:sz="0" w:space="0" w:color="auto"/>
        <w:right w:val="none" w:sz="0" w:space="0" w:color="auto"/>
      </w:divBdr>
    </w:div>
    <w:div w:id="1184125528">
      <w:bodyDiv w:val="1"/>
      <w:marLeft w:val="0"/>
      <w:marRight w:val="0"/>
      <w:marTop w:val="0"/>
      <w:marBottom w:val="0"/>
      <w:divBdr>
        <w:top w:val="none" w:sz="0" w:space="0" w:color="auto"/>
        <w:left w:val="none" w:sz="0" w:space="0" w:color="auto"/>
        <w:bottom w:val="none" w:sz="0" w:space="0" w:color="auto"/>
        <w:right w:val="none" w:sz="0" w:space="0" w:color="auto"/>
      </w:divBdr>
    </w:div>
    <w:div w:id="1305546806">
      <w:bodyDiv w:val="1"/>
      <w:marLeft w:val="0"/>
      <w:marRight w:val="0"/>
      <w:marTop w:val="0"/>
      <w:marBottom w:val="0"/>
      <w:divBdr>
        <w:top w:val="none" w:sz="0" w:space="0" w:color="auto"/>
        <w:left w:val="none" w:sz="0" w:space="0" w:color="auto"/>
        <w:bottom w:val="none" w:sz="0" w:space="0" w:color="auto"/>
        <w:right w:val="none" w:sz="0" w:space="0" w:color="auto"/>
      </w:divBdr>
    </w:div>
    <w:div w:id="1514152891">
      <w:bodyDiv w:val="1"/>
      <w:marLeft w:val="0"/>
      <w:marRight w:val="0"/>
      <w:marTop w:val="0"/>
      <w:marBottom w:val="0"/>
      <w:divBdr>
        <w:top w:val="none" w:sz="0" w:space="0" w:color="auto"/>
        <w:left w:val="none" w:sz="0" w:space="0" w:color="auto"/>
        <w:bottom w:val="none" w:sz="0" w:space="0" w:color="auto"/>
        <w:right w:val="none" w:sz="0" w:space="0" w:color="auto"/>
      </w:divBdr>
    </w:div>
    <w:div w:id="1522667678">
      <w:bodyDiv w:val="1"/>
      <w:marLeft w:val="0"/>
      <w:marRight w:val="0"/>
      <w:marTop w:val="0"/>
      <w:marBottom w:val="0"/>
      <w:divBdr>
        <w:top w:val="none" w:sz="0" w:space="0" w:color="auto"/>
        <w:left w:val="none" w:sz="0" w:space="0" w:color="auto"/>
        <w:bottom w:val="none" w:sz="0" w:space="0" w:color="auto"/>
        <w:right w:val="none" w:sz="0" w:space="0" w:color="auto"/>
      </w:divBdr>
    </w:div>
    <w:div w:id="1539851682">
      <w:bodyDiv w:val="1"/>
      <w:marLeft w:val="0"/>
      <w:marRight w:val="0"/>
      <w:marTop w:val="0"/>
      <w:marBottom w:val="0"/>
      <w:divBdr>
        <w:top w:val="none" w:sz="0" w:space="0" w:color="auto"/>
        <w:left w:val="none" w:sz="0" w:space="0" w:color="auto"/>
        <w:bottom w:val="none" w:sz="0" w:space="0" w:color="auto"/>
        <w:right w:val="none" w:sz="0" w:space="0" w:color="auto"/>
      </w:divBdr>
    </w:div>
    <w:div w:id="1553426494">
      <w:bodyDiv w:val="1"/>
      <w:marLeft w:val="0"/>
      <w:marRight w:val="0"/>
      <w:marTop w:val="0"/>
      <w:marBottom w:val="0"/>
      <w:divBdr>
        <w:top w:val="none" w:sz="0" w:space="0" w:color="auto"/>
        <w:left w:val="none" w:sz="0" w:space="0" w:color="auto"/>
        <w:bottom w:val="none" w:sz="0" w:space="0" w:color="auto"/>
        <w:right w:val="none" w:sz="0" w:space="0" w:color="auto"/>
      </w:divBdr>
    </w:div>
    <w:div w:id="1590001547">
      <w:bodyDiv w:val="1"/>
      <w:marLeft w:val="0"/>
      <w:marRight w:val="0"/>
      <w:marTop w:val="0"/>
      <w:marBottom w:val="0"/>
      <w:divBdr>
        <w:top w:val="none" w:sz="0" w:space="0" w:color="auto"/>
        <w:left w:val="none" w:sz="0" w:space="0" w:color="auto"/>
        <w:bottom w:val="none" w:sz="0" w:space="0" w:color="auto"/>
        <w:right w:val="none" w:sz="0" w:space="0" w:color="auto"/>
      </w:divBdr>
    </w:div>
    <w:div w:id="1634094954">
      <w:bodyDiv w:val="1"/>
      <w:marLeft w:val="0"/>
      <w:marRight w:val="0"/>
      <w:marTop w:val="0"/>
      <w:marBottom w:val="0"/>
      <w:divBdr>
        <w:top w:val="none" w:sz="0" w:space="0" w:color="auto"/>
        <w:left w:val="none" w:sz="0" w:space="0" w:color="auto"/>
        <w:bottom w:val="none" w:sz="0" w:space="0" w:color="auto"/>
        <w:right w:val="none" w:sz="0" w:space="0" w:color="auto"/>
      </w:divBdr>
    </w:div>
    <w:div w:id="1667049803">
      <w:bodyDiv w:val="1"/>
      <w:marLeft w:val="0"/>
      <w:marRight w:val="0"/>
      <w:marTop w:val="0"/>
      <w:marBottom w:val="0"/>
      <w:divBdr>
        <w:top w:val="none" w:sz="0" w:space="0" w:color="auto"/>
        <w:left w:val="none" w:sz="0" w:space="0" w:color="auto"/>
        <w:bottom w:val="none" w:sz="0" w:space="0" w:color="auto"/>
        <w:right w:val="none" w:sz="0" w:space="0" w:color="auto"/>
      </w:divBdr>
    </w:div>
    <w:div w:id="1785415597">
      <w:bodyDiv w:val="1"/>
      <w:marLeft w:val="0"/>
      <w:marRight w:val="0"/>
      <w:marTop w:val="0"/>
      <w:marBottom w:val="0"/>
      <w:divBdr>
        <w:top w:val="none" w:sz="0" w:space="0" w:color="auto"/>
        <w:left w:val="none" w:sz="0" w:space="0" w:color="auto"/>
        <w:bottom w:val="none" w:sz="0" w:space="0" w:color="auto"/>
        <w:right w:val="none" w:sz="0" w:space="0" w:color="auto"/>
      </w:divBdr>
    </w:div>
    <w:div w:id="1793087993">
      <w:bodyDiv w:val="1"/>
      <w:marLeft w:val="0"/>
      <w:marRight w:val="0"/>
      <w:marTop w:val="0"/>
      <w:marBottom w:val="0"/>
      <w:divBdr>
        <w:top w:val="none" w:sz="0" w:space="0" w:color="auto"/>
        <w:left w:val="none" w:sz="0" w:space="0" w:color="auto"/>
        <w:bottom w:val="none" w:sz="0" w:space="0" w:color="auto"/>
        <w:right w:val="none" w:sz="0" w:space="0" w:color="auto"/>
      </w:divBdr>
    </w:div>
    <w:div w:id="1820263246">
      <w:bodyDiv w:val="1"/>
      <w:marLeft w:val="0"/>
      <w:marRight w:val="0"/>
      <w:marTop w:val="0"/>
      <w:marBottom w:val="0"/>
      <w:divBdr>
        <w:top w:val="none" w:sz="0" w:space="0" w:color="auto"/>
        <w:left w:val="none" w:sz="0" w:space="0" w:color="auto"/>
        <w:bottom w:val="none" w:sz="0" w:space="0" w:color="auto"/>
        <w:right w:val="none" w:sz="0" w:space="0" w:color="auto"/>
      </w:divBdr>
    </w:div>
    <w:div w:id="1903322859">
      <w:bodyDiv w:val="1"/>
      <w:marLeft w:val="0"/>
      <w:marRight w:val="0"/>
      <w:marTop w:val="0"/>
      <w:marBottom w:val="0"/>
      <w:divBdr>
        <w:top w:val="none" w:sz="0" w:space="0" w:color="auto"/>
        <w:left w:val="none" w:sz="0" w:space="0" w:color="auto"/>
        <w:bottom w:val="none" w:sz="0" w:space="0" w:color="auto"/>
        <w:right w:val="none" w:sz="0" w:space="0" w:color="auto"/>
      </w:divBdr>
    </w:div>
    <w:div w:id="2090955957">
      <w:bodyDiv w:val="1"/>
      <w:marLeft w:val="0"/>
      <w:marRight w:val="0"/>
      <w:marTop w:val="0"/>
      <w:marBottom w:val="0"/>
      <w:divBdr>
        <w:top w:val="none" w:sz="0" w:space="0" w:color="auto"/>
        <w:left w:val="none" w:sz="0" w:space="0" w:color="auto"/>
        <w:bottom w:val="none" w:sz="0" w:space="0" w:color="auto"/>
        <w:right w:val="none" w:sz="0" w:space="0" w:color="auto"/>
      </w:divBdr>
    </w:div>
    <w:div w:id="2105299476">
      <w:bodyDiv w:val="1"/>
      <w:marLeft w:val="0"/>
      <w:marRight w:val="0"/>
      <w:marTop w:val="0"/>
      <w:marBottom w:val="0"/>
      <w:divBdr>
        <w:top w:val="none" w:sz="0" w:space="0" w:color="auto"/>
        <w:left w:val="none" w:sz="0" w:space="0" w:color="auto"/>
        <w:bottom w:val="none" w:sz="0" w:space="0" w:color="auto"/>
        <w:right w:val="none" w:sz="0" w:space="0" w:color="auto"/>
      </w:divBdr>
    </w:div>
    <w:div w:id="21112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leforth-surgery.co.uk/" TargetMode="External"/><Relationship Id="rId13" Type="http://schemas.openxmlformats.org/officeDocument/2006/relationships/hyperlink" Target="https://www.hra.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yton-snainton.co.uk/" TargetMode="External"/><Relationship Id="rId5" Type="http://schemas.openxmlformats.org/officeDocument/2006/relationships/webSettings" Target="webSettings.xml"/><Relationship Id="rId15" Type="http://schemas.openxmlformats.org/officeDocument/2006/relationships/hyperlink" Target="https://www.nhsx.nhs.uk/information-governance/guidance/records-management-code/" TargetMode="External"/><Relationship Id="rId10" Type="http://schemas.openxmlformats.org/officeDocument/2006/relationships/hyperlink" Target="https://srpractic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rpractice.co.uk/pages/index/?pageId=132455" TargetMode="External"/><Relationship Id="rId14" Type="http://schemas.openxmlformats.org/officeDocument/2006/relationships/hyperlink" Target="https://understandingpatientdata.org.uk/what-you-need-kno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F6E62-A4B9-41D5-AA9A-5D725A57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CHEETHAM, Helen (AMPLEFORTH SURGERY)</dc:creator>
  <cp:keywords/>
  <dc:description/>
  <cp:lastModifiedBy>CHEETHAM, Helen (AMPLEFORTH SURGERY)</cp:lastModifiedBy>
  <cp:revision>3</cp:revision>
  <dcterms:created xsi:type="dcterms:W3CDTF">2025-12-29T14:47:00Z</dcterms:created>
  <dcterms:modified xsi:type="dcterms:W3CDTF">2025-12-29T14:49:00Z</dcterms:modified>
</cp:coreProperties>
</file>